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9B2" w:rsidRPr="00A10800" w:rsidRDefault="006449B2" w:rsidP="006449B2">
      <w:pPr>
        <w:pStyle w:val="Heading1"/>
        <w:spacing w:before="0"/>
        <w:rPr>
          <w:rFonts w:ascii="Arial" w:eastAsia="Times New Roman" w:hAnsi="Arial" w:cs="Arial"/>
          <w:color w:val="auto"/>
          <w:sz w:val="24"/>
          <w:szCs w:val="24"/>
        </w:rPr>
      </w:pPr>
      <w:bookmarkStart w:id="0" w:name="_Appendix_1:_Equality"/>
      <w:bookmarkStart w:id="1" w:name="_Appendix_2:_Equality"/>
      <w:bookmarkStart w:id="2" w:name="_Appendix_3:_Equality"/>
      <w:bookmarkStart w:id="3" w:name="_Appendix_1:_Equality_1"/>
      <w:bookmarkStart w:id="4" w:name="_Toc304207123"/>
      <w:bookmarkStart w:id="5" w:name="_Toc304207264"/>
      <w:bookmarkStart w:id="6" w:name="_Toc304207328"/>
      <w:bookmarkStart w:id="7" w:name="_Toc304207644"/>
      <w:bookmarkStart w:id="8" w:name="_Toc304207805"/>
      <w:bookmarkStart w:id="9" w:name="_Toc304275134"/>
      <w:bookmarkStart w:id="10" w:name="_Toc306625859"/>
      <w:bookmarkStart w:id="11" w:name="_Toc306649451"/>
      <w:bookmarkStart w:id="12" w:name="_Toc307314670"/>
      <w:bookmarkStart w:id="13" w:name="_Toc335056707"/>
      <w:bookmarkEnd w:id="0"/>
      <w:bookmarkEnd w:id="1"/>
      <w:bookmarkEnd w:id="2"/>
      <w:bookmarkEnd w:id="3"/>
      <w:r w:rsidRPr="00EE6486">
        <w:rPr>
          <w:rFonts w:ascii="Arial" w:eastAsia="Times New Roman" w:hAnsi="Arial" w:cs="Arial"/>
          <w:color w:val="auto"/>
          <w:sz w:val="24"/>
          <w:szCs w:val="24"/>
        </w:rPr>
        <w:t xml:space="preserve">Appendix 1: Equality assessment </w:t>
      </w:r>
      <w:bookmarkEnd w:id="4"/>
      <w:bookmarkEnd w:id="5"/>
      <w:bookmarkEnd w:id="6"/>
      <w:bookmarkEnd w:id="7"/>
      <w:bookmarkEnd w:id="8"/>
      <w:bookmarkEnd w:id="9"/>
      <w:bookmarkEnd w:id="10"/>
      <w:bookmarkEnd w:id="11"/>
      <w:bookmarkEnd w:id="12"/>
      <w:r>
        <w:rPr>
          <w:rFonts w:ascii="Arial" w:eastAsia="Times New Roman" w:hAnsi="Arial" w:cs="Arial"/>
          <w:color w:val="auto"/>
          <w:sz w:val="24"/>
          <w:szCs w:val="24"/>
        </w:rPr>
        <w:t>template</w:t>
      </w:r>
      <w:bookmarkEnd w:id="13"/>
      <w:r>
        <w:rPr>
          <w:rFonts w:ascii="Arial" w:eastAsia="Times New Roman" w:hAnsi="Arial" w:cs="Arial"/>
          <w:color w:val="auto"/>
          <w:sz w:val="24"/>
          <w:szCs w:val="24"/>
        </w:rPr>
        <w:br/>
      </w:r>
    </w:p>
    <w:p w:rsidR="006449B2" w:rsidRPr="00F961D4" w:rsidRDefault="006449B2" w:rsidP="006449B2">
      <w:pPr>
        <w:spacing w:line="240" w:lineRule="auto"/>
        <w:rPr>
          <w:rFonts w:ascii="Arial" w:hAnsi="Arial" w:cs="Arial"/>
          <w:sz w:val="20"/>
          <w:szCs w:val="20"/>
        </w:rPr>
      </w:pPr>
      <w:r w:rsidRPr="00F961D4">
        <w:rPr>
          <w:rFonts w:ascii="Arial" w:hAnsi="Arial" w:cs="Arial"/>
          <w:sz w:val="20"/>
          <w:szCs w:val="20"/>
        </w:rPr>
        <w:t>When completing the assessment template the policy-maker</w:t>
      </w:r>
      <w:r w:rsidR="006679F7">
        <w:rPr>
          <w:rFonts w:ascii="Arial" w:hAnsi="Arial" w:cs="Arial"/>
          <w:sz w:val="20"/>
          <w:szCs w:val="20"/>
        </w:rPr>
        <w:t>/team</w:t>
      </w:r>
      <w:r w:rsidRPr="00F961D4">
        <w:rPr>
          <w:rFonts w:ascii="Arial" w:hAnsi="Arial" w:cs="Arial"/>
          <w:sz w:val="20"/>
          <w:szCs w:val="20"/>
        </w:rPr>
        <w:t xml:space="preserve"> should complete this template in partnership with the team who supported the assessment. </w:t>
      </w:r>
    </w:p>
    <w:tbl>
      <w:tblPr>
        <w:tblStyle w:val="TableGrid"/>
        <w:tblW w:w="15877" w:type="dxa"/>
        <w:tblInd w:w="-743" w:type="dxa"/>
        <w:tblLook w:val="04A0" w:firstRow="1" w:lastRow="0" w:firstColumn="1" w:lastColumn="0" w:noHBand="0" w:noVBand="1"/>
      </w:tblPr>
      <w:tblGrid>
        <w:gridCol w:w="707"/>
        <w:gridCol w:w="8872"/>
        <w:gridCol w:w="567"/>
        <w:gridCol w:w="708"/>
        <w:gridCol w:w="567"/>
        <w:gridCol w:w="847"/>
        <w:gridCol w:w="742"/>
        <w:gridCol w:w="567"/>
        <w:gridCol w:w="708"/>
        <w:gridCol w:w="742"/>
        <w:gridCol w:w="850"/>
      </w:tblGrid>
      <w:tr w:rsidR="006449B2" w:rsidRPr="007F05C5" w:rsidTr="00B54D82">
        <w:trPr>
          <w:tblHeader/>
        </w:trPr>
        <w:tc>
          <w:tcPr>
            <w:tcW w:w="709" w:type="dxa"/>
            <w:shd w:val="clear" w:color="auto" w:fill="D9D9D9" w:themeFill="background1" w:themeFillShade="D9"/>
          </w:tcPr>
          <w:p w:rsidR="006449B2" w:rsidRPr="007F05C5" w:rsidRDefault="006449B2" w:rsidP="00A164E7">
            <w:pPr>
              <w:rPr>
                <w:sz w:val="22"/>
                <w:szCs w:val="22"/>
              </w:rPr>
            </w:pPr>
          </w:p>
        </w:tc>
        <w:tc>
          <w:tcPr>
            <w:tcW w:w="15168" w:type="dxa"/>
            <w:gridSpan w:val="10"/>
            <w:shd w:val="clear" w:color="auto" w:fill="D9D9D9" w:themeFill="background1" w:themeFillShade="D9"/>
          </w:tcPr>
          <w:p w:rsidR="006449B2" w:rsidRPr="007F05C5" w:rsidRDefault="006449B2" w:rsidP="00A164E7">
            <w:pPr>
              <w:ind w:right="4177"/>
              <w:jc w:val="center"/>
              <w:rPr>
                <w:sz w:val="22"/>
                <w:szCs w:val="22"/>
              </w:rPr>
            </w:pPr>
            <w:r w:rsidRPr="007F05C5">
              <w:rPr>
                <w:b/>
                <w:sz w:val="22"/>
                <w:szCs w:val="22"/>
              </w:rPr>
              <w:t xml:space="preserve">                                        Equality Assessment Template</w:t>
            </w:r>
          </w:p>
        </w:tc>
      </w:tr>
      <w:tr w:rsidR="006449B2" w:rsidRPr="007F05C5" w:rsidTr="00B54D82">
        <w:tc>
          <w:tcPr>
            <w:tcW w:w="709" w:type="dxa"/>
            <w:shd w:val="clear" w:color="auto" w:fill="D9D9D9" w:themeFill="background1" w:themeFillShade="D9"/>
          </w:tcPr>
          <w:p w:rsidR="006449B2" w:rsidRPr="007F05C5" w:rsidRDefault="006449B2" w:rsidP="00A164E7">
            <w:pPr>
              <w:rPr>
                <w:b/>
                <w:sz w:val="22"/>
                <w:szCs w:val="22"/>
              </w:rPr>
            </w:pPr>
            <w:r w:rsidRPr="007F05C5">
              <w:rPr>
                <w:b/>
                <w:sz w:val="22"/>
                <w:szCs w:val="22"/>
              </w:rPr>
              <w:t>1.</w:t>
            </w:r>
          </w:p>
        </w:tc>
        <w:tc>
          <w:tcPr>
            <w:tcW w:w="8931" w:type="dxa"/>
            <w:shd w:val="clear" w:color="auto" w:fill="D9D9D9" w:themeFill="background1" w:themeFillShade="D9"/>
          </w:tcPr>
          <w:p w:rsidR="006449B2" w:rsidRPr="007F05C5" w:rsidRDefault="006449B2" w:rsidP="00A164E7">
            <w:pPr>
              <w:rPr>
                <w:b/>
                <w:sz w:val="22"/>
                <w:szCs w:val="22"/>
              </w:rPr>
            </w:pPr>
            <w:r w:rsidRPr="007F05C5">
              <w:rPr>
                <w:b/>
                <w:sz w:val="22"/>
                <w:szCs w:val="22"/>
              </w:rPr>
              <w:t xml:space="preserve">Background </w:t>
            </w:r>
          </w:p>
        </w:tc>
        <w:tc>
          <w:tcPr>
            <w:tcW w:w="6237" w:type="dxa"/>
            <w:gridSpan w:val="9"/>
            <w:shd w:val="clear" w:color="auto" w:fill="D9D9D9" w:themeFill="background1" w:themeFillShade="D9"/>
          </w:tcPr>
          <w:p w:rsidR="006449B2" w:rsidRPr="007F05C5" w:rsidRDefault="006449B2" w:rsidP="00A164E7">
            <w:pPr>
              <w:jc w:val="center"/>
              <w:rPr>
                <w:b/>
                <w:sz w:val="22"/>
                <w:szCs w:val="22"/>
              </w:rPr>
            </w:pPr>
            <w:r w:rsidRPr="007F05C5">
              <w:rPr>
                <w:b/>
                <w:sz w:val="22"/>
                <w:szCs w:val="22"/>
              </w:rPr>
              <w:t>Answer</w:t>
            </w:r>
          </w:p>
        </w:tc>
      </w:tr>
      <w:tr w:rsidR="006449B2" w:rsidRPr="007F05C5" w:rsidTr="00B54D82">
        <w:tc>
          <w:tcPr>
            <w:tcW w:w="709" w:type="dxa"/>
          </w:tcPr>
          <w:p w:rsidR="006449B2" w:rsidRPr="007F05C5" w:rsidRDefault="006449B2" w:rsidP="00A164E7">
            <w:pPr>
              <w:rPr>
                <w:sz w:val="22"/>
                <w:szCs w:val="22"/>
              </w:rPr>
            </w:pPr>
            <w:r w:rsidRPr="007F05C5">
              <w:rPr>
                <w:sz w:val="22"/>
                <w:szCs w:val="22"/>
              </w:rPr>
              <w:t>1.1</w:t>
            </w:r>
          </w:p>
        </w:tc>
        <w:tc>
          <w:tcPr>
            <w:tcW w:w="8931" w:type="dxa"/>
          </w:tcPr>
          <w:p w:rsidR="006449B2" w:rsidRPr="00A10800" w:rsidRDefault="006449B2" w:rsidP="00A164E7">
            <w:pPr>
              <w:rPr>
                <w:sz w:val="22"/>
                <w:szCs w:val="22"/>
              </w:rPr>
            </w:pPr>
            <w:r w:rsidRPr="00A10800">
              <w:rPr>
                <w:sz w:val="22"/>
                <w:szCs w:val="22"/>
              </w:rPr>
              <w:t>What policy is being assessed or reviewed?</w:t>
            </w:r>
          </w:p>
        </w:tc>
        <w:tc>
          <w:tcPr>
            <w:tcW w:w="6237" w:type="dxa"/>
            <w:gridSpan w:val="9"/>
          </w:tcPr>
          <w:p w:rsidR="006449B2" w:rsidRPr="007F05C5" w:rsidRDefault="00E31829" w:rsidP="003F1001">
            <w:pPr>
              <w:rPr>
                <w:sz w:val="22"/>
                <w:szCs w:val="22"/>
              </w:rPr>
            </w:pPr>
            <w:r>
              <w:rPr>
                <w:sz w:val="22"/>
                <w:szCs w:val="22"/>
              </w:rPr>
              <w:t>New Academic Building (project known as Fusion Building 1)</w:t>
            </w:r>
          </w:p>
        </w:tc>
      </w:tr>
      <w:tr w:rsidR="006449B2" w:rsidRPr="007F05C5" w:rsidTr="00B54D82">
        <w:tc>
          <w:tcPr>
            <w:tcW w:w="709" w:type="dxa"/>
          </w:tcPr>
          <w:p w:rsidR="006449B2" w:rsidRPr="007F05C5" w:rsidRDefault="006449B2" w:rsidP="00A164E7">
            <w:pPr>
              <w:rPr>
                <w:sz w:val="22"/>
                <w:szCs w:val="22"/>
              </w:rPr>
            </w:pPr>
            <w:r w:rsidRPr="007F05C5">
              <w:rPr>
                <w:sz w:val="22"/>
                <w:szCs w:val="22"/>
              </w:rPr>
              <w:t xml:space="preserve">1.2 </w:t>
            </w:r>
          </w:p>
        </w:tc>
        <w:tc>
          <w:tcPr>
            <w:tcW w:w="8931" w:type="dxa"/>
          </w:tcPr>
          <w:p w:rsidR="006449B2" w:rsidRPr="00A10800" w:rsidRDefault="006449B2" w:rsidP="00A164E7">
            <w:pPr>
              <w:rPr>
                <w:sz w:val="22"/>
                <w:szCs w:val="22"/>
              </w:rPr>
            </w:pPr>
            <w:r w:rsidRPr="00A10800">
              <w:rPr>
                <w:sz w:val="22"/>
                <w:szCs w:val="22"/>
              </w:rPr>
              <w:t>What are the aims of the policy?</w:t>
            </w:r>
          </w:p>
        </w:tc>
        <w:tc>
          <w:tcPr>
            <w:tcW w:w="6237" w:type="dxa"/>
            <w:gridSpan w:val="9"/>
          </w:tcPr>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bottom w:w="28" w:type="dxa"/>
              </w:tblCellMar>
              <w:tblLook w:val="04A0" w:firstRow="1" w:lastRow="0" w:firstColumn="1" w:lastColumn="0" w:noHBand="0" w:noVBand="1"/>
            </w:tblPr>
            <w:tblGrid>
              <w:gridCol w:w="6072"/>
            </w:tblGrid>
            <w:tr w:rsidR="00B54D82" w:rsidRPr="00B54D82" w:rsidTr="00B54D82">
              <w:trPr>
                <w:trHeight w:val="238"/>
              </w:trPr>
              <w:tc>
                <w:tcPr>
                  <w:tcW w:w="0" w:type="auto"/>
                  <w:shd w:val="clear" w:color="auto" w:fill="auto"/>
                </w:tcPr>
                <w:p w:rsidR="00B54D82" w:rsidRDefault="00E80D41" w:rsidP="00B54D82">
                  <w:pPr>
                    <w:jc w:val="both"/>
                    <w:rPr>
                      <w:rFonts w:eastAsia="Times New Roman" w:cs="Arial"/>
                      <w:sz w:val="22"/>
                      <w:szCs w:val="22"/>
                    </w:rPr>
                  </w:pPr>
                  <w:r w:rsidRPr="00C813A9">
                    <w:rPr>
                      <w:rFonts w:eastAsia="Times New Roman" w:cs="Arial"/>
                      <w:sz w:val="22"/>
                      <w:szCs w:val="22"/>
                    </w:rPr>
                    <w:t>To construct</w:t>
                  </w:r>
                  <w:r w:rsidR="00B54D82" w:rsidRPr="00B54D82">
                    <w:rPr>
                      <w:rFonts w:eastAsia="Times New Roman" w:cs="Arial"/>
                      <w:sz w:val="22"/>
                      <w:szCs w:val="22"/>
                    </w:rPr>
                    <w:t xml:space="preserve"> a 5,800m2 flag ship academic building at the Talbot Campus. The building will act as a strategic enabler of ‘Fusion’ and will facilitate the continued development of the campus as outlined in the Estates Development Framework (EDF). </w:t>
                  </w:r>
                </w:p>
                <w:p w:rsidR="00B54D82" w:rsidRPr="00B54D82" w:rsidRDefault="00B54D82" w:rsidP="00B54D82">
                  <w:pPr>
                    <w:jc w:val="both"/>
                    <w:rPr>
                      <w:rFonts w:eastAsia="Times New Roman" w:cs="Arial"/>
                      <w:sz w:val="22"/>
                      <w:szCs w:val="22"/>
                      <w:lang w:eastAsia="en-GB"/>
                    </w:rPr>
                  </w:pPr>
                </w:p>
                <w:p w:rsidR="00B54D82" w:rsidRPr="00B54D82" w:rsidRDefault="00B54D82" w:rsidP="00B54D82">
                  <w:pPr>
                    <w:jc w:val="both"/>
                    <w:rPr>
                      <w:rFonts w:eastAsia="Times New Roman" w:cs="Arial"/>
                      <w:sz w:val="22"/>
                      <w:szCs w:val="22"/>
                    </w:rPr>
                  </w:pPr>
                  <w:r w:rsidRPr="00B54D82">
                    <w:rPr>
                      <w:rFonts w:eastAsia="Times New Roman" w:cs="Arial"/>
                      <w:sz w:val="22"/>
                      <w:szCs w:val="22"/>
                    </w:rPr>
                    <w:t>The building is</w:t>
                  </w:r>
                  <w:r w:rsidR="00C813A9">
                    <w:rPr>
                      <w:rFonts w:eastAsia="Times New Roman" w:cs="Arial"/>
                      <w:sz w:val="22"/>
                      <w:szCs w:val="22"/>
                    </w:rPr>
                    <w:t xml:space="preserve"> scheduled to open in July 2016.</w:t>
                  </w:r>
                </w:p>
                <w:p w:rsidR="00B54D82" w:rsidRPr="00B54D82" w:rsidRDefault="00B54D82" w:rsidP="00B54D82">
                  <w:pPr>
                    <w:autoSpaceDE w:val="0"/>
                    <w:autoSpaceDN w:val="0"/>
                    <w:adjustRightInd w:val="0"/>
                    <w:jc w:val="both"/>
                    <w:rPr>
                      <w:rFonts w:eastAsia="Times New Roman" w:cs="Arial"/>
                      <w:sz w:val="22"/>
                      <w:szCs w:val="22"/>
                      <w:lang w:eastAsia="en-GB"/>
                    </w:rPr>
                  </w:pPr>
                </w:p>
                <w:p w:rsidR="00B54D82" w:rsidRPr="00B54D82" w:rsidRDefault="00C813A9" w:rsidP="00B54D82">
                  <w:pPr>
                    <w:rPr>
                      <w:rFonts w:eastAsia="Calibri" w:cs="Arial"/>
                      <w:sz w:val="22"/>
                      <w:szCs w:val="22"/>
                      <w:lang w:eastAsia="en-GB"/>
                    </w:rPr>
                  </w:pPr>
                  <w:r>
                    <w:rPr>
                      <w:rFonts w:eastAsia="Calibri" w:cs="Arial"/>
                      <w:iCs/>
                      <w:color w:val="000000" w:themeColor="text1"/>
                      <w:sz w:val="22"/>
                      <w:szCs w:val="22"/>
                      <w:lang w:eastAsia="en-GB"/>
                    </w:rPr>
                    <w:t>T</w:t>
                  </w:r>
                  <w:r w:rsidR="00B54D82" w:rsidRPr="00B54D82">
                    <w:rPr>
                      <w:rFonts w:eastAsia="Calibri" w:cs="Arial"/>
                      <w:iCs/>
                      <w:color w:val="000000" w:themeColor="text1"/>
                      <w:sz w:val="22"/>
                      <w:szCs w:val="22"/>
                      <w:lang w:eastAsia="en-GB"/>
                    </w:rPr>
                    <w:t>he delivery of Fusion Building 1 will increase the space provided per student to 4.89m2, an increase of 0.29m2 per student. The delivery of Fusion Building 1 also plays an important strategic role in facilitating the removal of existing modular accommodation.  However, this calculation does allow for the initial short-term retention of the Poole House Catering Block for decant space until the future delivery of Fusion Building 2 by September 2018.</w:t>
                  </w:r>
                </w:p>
                <w:p w:rsidR="00B54D82" w:rsidRPr="00B54D82" w:rsidRDefault="00B54D82" w:rsidP="00B54D82">
                  <w:pPr>
                    <w:autoSpaceDE w:val="0"/>
                    <w:autoSpaceDN w:val="0"/>
                    <w:adjustRightInd w:val="0"/>
                    <w:jc w:val="both"/>
                    <w:rPr>
                      <w:rFonts w:eastAsia="Times New Roman" w:cs="Arial"/>
                      <w:sz w:val="22"/>
                      <w:szCs w:val="22"/>
                      <w:lang w:eastAsia="en-GB"/>
                    </w:rPr>
                  </w:pPr>
                </w:p>
                <w:p w:rsidR="00C813A9" w:rsidRDefault="00B54D82" w:rsidP="00B54D82">
                  <w:pPr>
                    <w:jc w:val="both"/>
                    <w:rPr>
                      <w:rFonts w:eastAsia="Times New Roman" w:cs="Arial"/>
                      <w:sz w:val="22"/>
                      <w:szCs w:val="22"/>
                      <w:lang w:eastAsia="en-GB"/>
                    </w:rPr>
                  </w:pPr>
                  <w:r w:rsidRPr="00B54D82">
                    <w:rPr>
                      <w:rFonts w:eastAsia="Times New Roman" w:cs="Arial"/>
                      <w:sz w:val="22"/>
                      <w:szCs w:val="22"/>
                      <w:lang w:eastAsia="en-GB"/>
                    </w:rPr>
                    <w:t xml:space="preserve">The </w:t>
                  </w:r>
                  <w:r w:rsidR="00C813A9">
                    <w:rPr>
                      <w:rFonts w:eastAsia="Times New Roman" w:cs="Arial"/>
                      <w:sz w:val="22"/>
                      <w:szCs w:val="22"/>
                      <w:lang w:eastAsia="en-GB"/>
                    </w:rPr>
                    <w:t>new building will be constructed on the site of Car Park A and the bays lost will be replaced by the construction of a new car park known as the “Park &amp; Stride” which will be subject to its own Equality Impact Statement.</w:t>
                  </w:r>
                </w:p>
                <w:p w:rsidR="00436F22" w:rsidRDefault="00436F22" w:rsidP="00B54D82">
                  <w:pPr>
                    <w:tabs>
                      <w:tab w:val="right" w:pos="709"/>
                      <w:tab w:val="right" w:pos="10206"/>
                    </w:tabs>
                    <w:jc w:val="both"/>
                    <w:rPr>
                      <w:rFonts w:eastAsia="Calibri" w:cs="Arial"/>
                      <w:sz w:val="22"/>
                      <w:szCs w:val="22"/>
                      <w:lang w:eastAsia="en-GB"/>
                    </w:rPr>
                  </w:pPr>
                </w:p>
                <w:p w:rsidR="00B54D82" w:rsidRPr="00B54D82" w:rsidRDefault="00B54D82" w:rsidP="00B54D82">
                  <w:pPr>
                    <w:tabs>
                      <w:tab w:val="right" w:pos="709"/>
                      <w:tab w:val="right" w:pos="10206"/>
                    </w:tabs>
                    <w:jc w:val="both"/>
                    <w:rPr>
                      <w:rFonts w:eastAsia="Calibri" w:cs="Arial"/>
                      <w:sz w:val="22"/>
                      <w:szCs w:val="22"/>
                      <w:lang w:eastAsia="en-GB"/>
                    </w:rPr>
                  </w:pPr>
                  <w:r w:rsidRPr="00B54D82">
                    <w:rPr>
                      <w:rFonts w:eastAsia="Calibri" w:cs="Arial"/>
                      <w:sz w:val="22"/>
                      <w:szCs w:val="22"/>
                      <w:lang w:eastAsia="en-GB"/>
                    </w:rPr>
                    <w:t xml:space="preserve">The building will achieve a BREEAM rating of ‘Excellent’ (in accordance with BU policy) and an Energy Performance Certification (EPC) of A. To achieve these standards a number of low/ zero carbon technologies are proposed including a combined heat and power plant, a ground  </w:t>
                  </w:r>
                </w:p>
                <w:p w:rsidR="00B54D82" w:rsidRDefault="00D71873" w:rsidP="00B54D82">
                  <w:pPr>
                    <w:tabs>
                      <w:tab w:val="right" w:pos="709"/>
                      <w:tab w:val="right" w:pos="10206"/>
                    </w:tabs>
                    <w:jc w:val="both"/>
                    <w:rPr>
                      <w:rFonts w:eastAsia="Calibri" w:cs="Arial"/>
                      <w:sz w:val="22"/>
                      <w:szCs w:val="22"/>
                      <w:lang w:eastAsia="en-GB"/>
                    </w:rPr>
                  </w:pPr>
                  <w:proofErr w:type="gramStart"/>
                  <w:r w:rsidRPr="00B54D82">
                    <w:rPr>
                      <w:rFonts w:eastAsia="Calibri" w:cs="Arial"/>
                      <w:sz w:val="22"/>
                      <w:szCs w:val="22"/>
                      <w:lang w:eastAsia="en-GB"/>
                    </w:rPr>
                    <w:t>source</w:t>
                  </w:r>
                  <w:proofErr w:type="gramEnd"/>
                  <w:r w:rsidRPr="00B54D82">
                    <w:rPr>
                      <w:rFonts w:eastAsia="Calibri" w:cs="Arial"/>
                      <w:sz w:val="22"/>
                      <w:szCs w:val="22"/>
                      <w:lang w:eastAsia="en-GB"/>
                    </w:rPr>
                    <w:t xml:space="preserve"> heat pump system and photovoltaic panels.</w:t>
                  </w:r>
                </w:p>
                <w:p w:rsidR="00D71873" w:rsidRPr="00B54D82" w:rsidRDefault="00D71873" w:rsidP="00B54D82">
                  <w:pPr>
                    <w:tabs>
                      <w:tab w:val="right" w:pos="709"/>
                      <w:tab w:val="right" w:pos="10206"/>
                    </w:tabs>
                    <w:jc w:val="both"/>
                    <w:rPr>
                      <w:rFonts w:eastAsia="Calibri" w:cs="Arial"/>
                      <w:sz w:val="22"/>
                      <w:szCs w:val="22"/>
                      <w:lang w:eastAsia="en-GB"/>
                    </w:rPr>
                  </w:pPr>
                </w:p>
              </w:tc>
            </w:tr>
          </w:tbl>
          <w:p w:rsidR="006449B2" w:rsidRPr="00C813A9" w:rsidRDefault="006449B2" w:rsidP="003F1001">
            <w:pPr>
              <w:rPr>
                <w:sz w:val="22"/>
                <w:szCs w:val="22"/>
              </w:rPr>
            </w:pPr>
          </w:p>
        </w:tc>
      </w:tr>
      <w:tr w:rsidR="006449B2" w:rsidRPr="007F05C5" w:rsidTr="00B54D82">
        <w:tc>
          <w:tcPr>
            <w:tcW w:w="709" w:type="dxa"/>
          </w:tcPr>
          <w:p w:rsidR="006449B2" w:rsidRPr="007F05C5" w:rsidRDefault="006449B2" w:rsidP="00A164E7">
            <w:pPr>
              <w:rPr>
                <w:sz w:val="22"/>
                <w:szCs w:val="22"/>
              </w:rPr>
            </w:pPr>
            <w:r w:rsidRPr="007F05C5">
              <w:rPr>
                <w:sz w:val="22"/>
                <w:szCs w:val="22"/>
              </w:rPr>
              <w:lastRenderedPageBreak/>
              <w:t>1.3</w:t>
            </w:r>
          </w:p>
        </w:tc>
        <w:tc>
          <w:tcPr>
            <w:tcW w:w="8931" w:type="dxa"/>
          </w:tcPr>
          <w:p w:rsidR="006449B2" w:rsidRPr="00A10800" w:rsidRDefault="006449B2" w:rsidP="00A164E7">
            <w:pPr>
              <w:rPr>
                <w:sz w:val="22"/>
                <w:szCs w:val="22"/>
              </w:rPr>
            </w:pPr>
            <w:r w:rsidRPr="00A10800">
              <w:rPr>
                <w:sz w:val="22"/>
                <w:szCs w:val="22"/>
              </w:rPr>
              <w:t>Who is affected by the policy?</w:t>
            </w:r>
          </w:p>
        </w:tc>
        <w:tc>
          <w:tcPr>
            <w:tcW w:w="6237" w:type="dxa"/>
            <w:gridSpan w:val="9"/>
          </w:tcPr>
          <w:p w:rsidR="006449B2" w:rsidRPr="00C813A9" w:rsidRDefault="00E31829" w:rsidP="003F1001">
            <w:pPr>
              <w:rPr>
                <w:sz w:val="22"/>
                <w:szCs w:val="22"/>
              </w:rPr>
            </w:pPr>
            <w:r w:rsidRPr="00C813A9">
              <w:rPr>
                <w:sz w:val="22"/>
                <w:szCs w:val="22"/>
              </w:rPr>
              <w:t>All BU Staff and Students</w:t>
            </w:r>
          </w:p>
        </w:tc>
      </w:tr>
      <w:tr w:rsidR="006449B2" w:rsidRPr="007F05C5" w:rsidTr="00B54D82">
        <w:tc>
          <w:tcPr>
            <w:tcW w:w="709" w:type="dxa"/>
          </w:tcPr>
          <w:p w:rsidR="006449B2" w:rsidRPr="007F05C5" w:rsidRDefault="006449B2" w:rsidP="00A164E7">
            <w:pPr>
              <w:rPr>
                <w:sz w:val="22"/>
                <w:szCs w:val="22"/>
              </w:rPr>
            </w:pPr>
            <w:r w:rsidRPr="007F05C5">
              <w:rPr>
                <w:sz w:val="22"/>
                <w:szCs w:val="22"/>
              </w:rPr>
              <w:t>1.4</w:t>
            </w:r>
          </w:p>
        </w:tc>
        <w:tc>
          <w:tcPr>
            <w:tcW w:w="8931" w:type="dxa"/>
          </w:tcPr>
          <w:p w:rsidR="006449B2" w:rsidRPr="00A10800" w:rsidRDefault="006449B2" w:rsidP="00A164E7">
            <w:pPr>
              <w:rPr>
                <w:sz w:val="22"/>
                <w:szCs w:val="22"/>
              </w:rPr>
            </w:pPr>
            <w:r w:rsidRPr="00A10800">
              <w:rPr>
                <w:sz w:val="22"/>
                <w:szCs w:val="22"/>
              </w:rPr>
              <w:t>Who supported you</w:t>
            </w:r>
            <w:r>
              <w:rPr>
                <w:sz w:val="22"/>
                <w:szCs w:val="22"/>
              </w:rPr>
              <w:t xml:space="preserve"> </w:t>
            </w:r>
            <w:r w:rsidRPr="00A60D61">
              <w:rPr>
                <w:sz w:val="22"/>
                <w:szCs w:val="22"/>
              </w:rPr>
              <w:t>and why</w:t>
            </w:r>
            <w:r w:rsidRPr="00A10800">
              <w:rPr>
                <w:sz w:val="22"/>
                <w:szCs w:val="22"/>
              </w:rPr>
              <w:t xml:space="preserve"> to complete the first assessment or this review?</w:t>
            </w:r>
            <w:r>
              <w:rPr>
                <w:sz w:val="22"/>
                <w:szCs w:val="22"/>
              </w:rPr>
              <w:t xml:space="preserve"> </w:t>
            </w:r>
          </w:p>
        </w:tc>
        <w:tc>
          <w:tcPr>
            <w:tcW w:w="6237" w:type="dxa"/>
            <w:gridSpan w:val="9"/>
          </w:tcPr>
          <w:p w:rsidR="00E31829" w:rsidRPr="00C813A9" w:rsidRDefault="00E31829" w:rsidP="003F1001">
            <w:pPr>
              <w:rPr>
                <w:sz w:val="22"/>
                <w:szCs w:val="22"/>
              </w:rPr>
            </w:pPr>
            <w:r w:rsidRPr="00C813A9">
              <w:rPr>
                <w:sz w:val="22"/>
                <w:szCs w:val="22"/>
              </w:rPr>
              <w:t>Steve Cox, Estates Programme Manager</w:t>
            </w:r>
          </w:p>
        </w:tc>
      </w:tr>
      <w:tr w:rsidR="006449B2" w:rsidRPr="007F05C5" w:rsidTr="00B54D82">
        <w:tc>
          <w:tcPr>
            <w:tcW w:w="709" w:type="dxa"/>
            <w:shd w:val="clear" w:color="auto" w:fill="D9D9D9" w:themeFill="background1" w:themeFillShade="D9"/>
          </w:tcPr>
          <w:p w:rsidR="006449B2" w:rsidRPr="007F05C5" w:rsidRDefault="006449B2" w:rsidP="00A164E7">
            <w:pPr>
              <w:rPr>
                <w:b/>
                <w:sz w:val="22"/>
                <w:szCs w:val="22"/>
              </w:rPr>
            </w:pPr>
            <w:r w:rsidRPr="007F05C5">
              <w:rPr>
                <w:b/>
                <w:sz w:val="22"/>
                <w:szCs w:val="22"/>
              </w:rPr>
              <w:t>2.</w:t>
            </w:r>
          </w:p>
        </w:tc>
        <w:tc>
          <w:tcPr>
            <w:tcW w:w="8931" w:type="dxa"/>
            <w:shd w:val="clear" w:color="auto" w:fill="D9D9D9" w:themeFill="background1" w:themeFillShade="D9"/>
          </w:tcPr>
          <w:p w:rsidR="006449B2" w:rsidRPr="00A10800" w:rsidRDefault="006449B2" w:rsidP="00A164E7">
            <w:pPr>
              <w:rPr>
                <w:b/>
                <w:sz w:val="22"/>
                <w:szCs w:val="22"/>
              </w:rPr>
            </w:pPr>
            <w:r w:rsidRPr="00A10800">
              <w:rPr>
                <w:b/>
                <w:sz w:val="22"/>
                <w:szCs w:val="22"/>
              </w:rPr>
              <w:t>Equality information</w:t>
            </w:r>
          </w:p>
        </w:tc>
        <w:tc>
          <w:tcPr>
            <w:tcW w:w="6237" w:type="dxa"/>
            <w:gridSpan w:val="9"/>
            <w:shd w:val="clear" w:color="auto" w:fill="D9D9D9" w:themeFill="background1" w:themeFillShade="D9"/>
          </w:tcPr>
          <w:p w:rsidR="006449B2" w:rsidRPr="00C813A9" w:rsidRDefault="006449B2" w:rsidP="00A164E7">
            <w:pPr>
              <w:jc w:val="center"/>
              <w:rPr>
                <w:b/>
                <w:sz w:val="22"/>
                <w:szCs w:val="22"/>
              </w:rPr>
            </w:pPr>
            <w:r w:rsidRPr="00C813A9">
              <w:rPr>
                <w:b/>
                <w:sz w:val="22"/>
                <w:szCs w:val="22"/>
              </w:rPr>
              <w:t>Answer</w:t>
            </w:r>
          </w:p>
        </w:tc>
      </w:tr>
      <w:tr w:rsidR="006449B2" w:rsidRPr="007F05C5" w:rsidTr="00B54D82">
        <w:tc>
          <w:tcPr>
            <w:tcW w:w="709" w:type="dxa"/>
          </w:tcPr>
          <w:p w:rsidR="006449B2" w:rsidRPr="007F05C5" w:rsidRDefault="006449B2" w:rsidP="00A164E7">
            <w:pPr>
              <w:rPr>
                <w:sz w:val="22"/>
                <w:szCs w:val="22"/>
              </w:rPr>
            </w:pPr>
            <w:r w:rsidRPr="007F05C5">
              <w:rPr>
                <w:sz w:val="22"/>
                <w:szCs w:val="22"/>
              </w:rPr>
              <w:t>2.1</w:t>
            </w:r>
          </w:p>
        </w:tc>
        <w:tc>
          <w:tcPr>
            <w:tcW w:w="8931" w:type="dxa"/>
          </w:tcPr>
          <w:p w:rsidR="006449B2" w:rsidRPr="00A10800" w:rsidRDefault="006449B2" w:rsidP="00A164E7">
            <w:pPr>
              <w:rPr>
                <w:sz w:val="22"/>
                <w:szCs w:val="22"/>
              </w:rPr>
            </w:pPr>
            <w:r w:rsidRPr="00A10800">
              <w:rPr>
                <w:sz w:val="22"/>
                <w:szCs w:val="22"/>
              </w:rPr>
              <w:t xml:space="preserve">For existing policies, what equality information have you used as referenced in </w:t>
            </w:r>
            <w:hyperlink w:anchor="_Table_2:_Examples" w:history="1">
              <w:r w:rsidRPr="00783383">
                <w:rPr>
                  <w:rStyle w:val="Hyperlink"/>
                  <w:color w:val="4F81BD" w:themeColor="accent1"/>
                  <w:sz w:val="22"/>
                  <w:szCs w:val="22"/>
                </w:rPr>
                <w:t>Table 2</w:t>
              </w:r>
            </w:hyperlink>
            <w:r w:rsidR="000D2EBF" w:rsidRPr="00783383">
              <w:rPr>
                <w:rStyle w:val="Hyperlink"/>
                <w:color w:val="4F81BD" w:themeColor="accent1"/>
              </w:rPr>
              <w:t xml:space="preserve"> </w:t>
            </w:r>
            <w:r w:rsidR="000D2EBF" w:rsidRPr="000D2EBF">
              <w:rPr>
                <w:rStyle w:val="Hyperlink"/>
                <w:color w:val="auto"/>
                <w:u w:val="none"/>
              </w:rPr>
              <w:t>of the guidelines</w:t>
            </w:r>
            <w:r w:rsidRPr="00A10800">
              <w:rPr>
                <w:sz w:val="22"/>
                <w:szCs w:val="22"/>
              </w:rPr>
              <w:t>, and how have you used the information to inform the first assessment and subsequent review? (Please also describe who provided this information and why they were approached)</w:t>
            </w:r>
          </w:p>
        </w:tc>
        <w:tc>
          <w:tcPr>
            <w:tcW w:w="6237" w:type="dxa"/>
            <w:gridSpan w:val="9"/>
          </w:tcPr>
          <w:p w:rsidR="006449B2" w:rsidRPr="00C813A9" w:rsidRDefault="00E31829" w:rsidP="003F1001">
            <w:pPr>
              <w:rPr>
                <w:sz w:val="22"/>
                <w:szCs w:val="22"/>
              </w:rPr>
            </w:pPr>
            <w:r w:rsidRPr="00C813A9">
              <w:rPr>
                <w:sz w:val="22"/>
                <w:szCs w:val="22"/>
              </w:rPr>
              <w:t xml:space="preserve">Whilst the University has developed new buildings in the past this is a new policy. </w:t>
            </w:r>
          </w:p>
        </w:tc>
      </w:tr>
      <w:tr w:rsidR="006449B2" w:rsidRPr="007F05C5" w:rsidTr="00B54D82">
        <w:tc>
          <w:tcPr>
            <w:tcW w:w="709" w:type="dxa"/>
          </w:tcPr>
          <w:p w:rsidR="006449B2" w:rsidRPr="007F05C5" w:rsidRDefault="006449B2" w:rsidP="00A164E7">
            <w:pPr>
              <w:rPr>
                <w:sz w:val="22"/>
                <w:szCs w:val="22"/>
              </w:rPr>
            </w:pPr>
            <w:r w:rsidRPr="007F05C5">
              <w:rPr>
                <w:sz w:val="22"/>
                <w:szCs w:val="22"/>
              </w:rPr>
              <w:t>2.2</w:t>
            </w:r>
          </w:p>
        </w:tc>
        <w:tc>
          <w:tcPr>
            <w:tcW w:w="8931" w:type="dxa"/>
          </w:tcPr>
          <w:p w:rsidR="006449B2" w:rsidRPr="00A10800" w:rsidRDefault="006449B2" w:rsidP="00A164E7">
            <w:pPr>
              <w:rPr>
                <w:sz w:val="22"/>
                <w:szCs w:val="22"/>
              </w:rPr>
            </w:pPr>
            <w:r w:rsidRPr="00A10800">
              <w:rPr>
                <w:sz w:val="22"/>
                <w:szCs w:val="22"/>
              </w:rPr>
              <w:t xml:space="preserve">If this is a new policy, what equality information will be used to monitor the impact as referenced in </w:t>
            </w:r>
            <w:hyperlink w:anchor="_Table_2:_Examples" w:history="1">
              <w:r w:rsidRPr="00783383">
                <w:rPr>
                  <w:rStyle w:val="Hyperlink"/>
                  <w:color w:val="4F81BD" w:themeColor="accent1"/>
                  <w:sz w:val="22"/>
                  <w:szCs w:val="22"/>
                </w:rPr>
                <w:t>Table 2</w:t>
              </w:r>
            </w:hyperlink>
            <w:r w:rsidR="000D2EBF" w:rsidRPr="00783383">
              <w:rPr>
                <w:rStyle w:val="Hyperlink"/>
                <w:color w:val="4F81BD" w:themeColor="accent1"/>
              </w:rPr>
              <w:t xml:space="preserve"> </w:t>
            </w:r>
            <w:r w:rsidR="000D2EBF" w:rsidRPr="000D2EBF">
              <w:rPr>
                <w:rStyle w:val="Hyperlink"/>
                <w:color w:val="auto"/>
                <w:u w:val="none"/>
              </w:rPr>
              <w:t>of the guidelines</w:t>
            </w:r>
            <w:r w:rsidRPr="00A10800">
              <w:rPr>
                <w:sz w:val="22"/>
                <w:szCs w:val="22"/>
              </w:rPr>
              <w:t>, and how you will use the information to inform the first assessment and subsequent review? (Please also describe who provided this information and why they were approached)</w:t>
            </w:r>
          </w:p>
        </w:tc>
        <w:tc>
          <w:tcPr>
            <w:tcW w:w="6237" w:type="dxa"/>
            <w:gridSpan w:val="9"/>
          </w:tcPr>
          <w:p w:rsidR="006449B2" w:rsidRPr="00C813A9" w:rsidRDefault="003F1001" w:rsidP="003F1001">
            <w:pPr>
              <w:rPr>
                <w:sz w:val="22"/>
                <w:szCs w:val="22"/>
              </w:rPr>
            </w:pPr>
            <w:r w:rsidRPr="00C813A9">
              <w:rPr>
                <w:sz w:val="22"/>
                <w:szCs w:val="22"/>
              </w:rPr>
              <w:t>Internal</w:t>
            </w:r>
          </w:p>
          <w:p w:rsidR="003F1001" w:rsidRPr="00C813A9" w:rsidRDefault="00AE1BC0" w:rsidP="003F1001">
            <w:pPr>
              <w:pStyle w:val="ListParagraph"/>
              <w:numPr>
                <w:ilvl w:val="0"/>
                <w:numId w:val="29"/>
              </w:numPr>
              <w:rPr>
                <w:sz w:val="22"/>
                <w:szCs w:val="22"/>
              </w:rPr>
            </w:pPr>
            <w:r w:rsidRPr="00C813A9">
              <w:rPr>
                <w:sz w:val="22"/>
                <w:szCs w:val="22"/>
              </w:rPr>
              <w:t>Brief informed by all staff workshop events held in March 2013 (ref Feria report</w:t>
            </w:r>
            <w:r w:rsidR="008F6034">
              <w:rPr>
                <w:sz w:val="22"/>
                <w:szCs w:val="22"/>
              </w:rPr>
              <w:t xml:space="preserve"> July 2013</w:t>
            </w:r>
            <w:r w:rsidRPr="00C813A9">
              <w:rPr>
                <w:sz w:val="22"/>
                <w:szCs w:val="22"/>
              </w:rPr>
              <w:t>)</w:t>
            </w:r>
          </w:p>
          <w:p w:rsidR="00AE1BC0" w:rsidRPr="00C813A9" w:rsidRDefault="00AE1BC0" w:rsidP="0095043D">
            <w:pPr>
              <w:pStyle w:val="ListParagraph"/>
              <w:numPr>
                <w:ilvl w:val="0"/>
                <w:numId w:val="29"/>
              </w:numPr>
              <w:rPr>
                <w:sz w:val="22"/>
                <w:szCs w:val="22"/>
              </w:rPr>
            </w:pPr>
            <w:r w:rsidRPr="00C813A9">
              <w:rPr>
                <w:sz w:val="22"/>
                <w:szCs w:val="22"/>
              </w:rPr>
              <w:t>Design progression formally tracked via ‘Design Quality Indicators’ workshops, involving input from academics, SUBU, estates facilities teams and the environment and energy team</w:t>
            </w:r>
            <w:r w:rsidR="00B14496">
              <w:rPr>
                <w:sz w:val="22"/>
                <w:szCs w:val="22"/>
              </w:rPr>
              <w:t>. F</w:t>
            </w:r>
            <w:r w:rsidRPr="00C813A9">
              <w:rPr>
                <w:sz w:val="22"/>
                <w:szCs w:val="22"/>
              </w:rPr>
              <w:t>or more info</w:t>
            </w:r>
            <w:r w:rsidR="00B14496">
              <w:rPr>
                <w:sz w:val="22"/>
                <w:szCs w:val="22"/>
              </w:rPr>
              <w:t>rmation</w:t>
            </w:r>
            <w:r w:rsidRPr="00C813A9">
              <w:rPr>
                <w:sz w:val="22"/>
                <w:szCs w:val="22"/>
              </w:rPr>
              <w:t xml:space="preserve"> regarding DQI refer to the following website</w:t>
            </w:r>
            <w:r w:rsidR="0095043D">
              <w:rPr>
                <w:sz w:val="22"/>
                <w:szCs w:val="22"/>
              </w:rPr>
              <w:t xml:space="preserve"> www.dqi.org.uk.</w:t>
            </w:r>
          </w:p>
          <w:p w:rsidR="004159B7" w:rsidRPr="00C813A9" w:rsidRDefault="004159B7" w:rsidP="003F1001">
            <w:pPr>
              <w:pStyle w:val="ListParagraph"/>
              <w:numPr>
                <w:ilvl w:val="0"/>
                <w:numId w:val="29"/>
              </w:numPr>
              <w:rPr>
                <w:sz w:val="22"/>
                <w:szCs w:val="22"/>
              </w:rPr>
            </w:pPr>
            <w:r w:rsidRPr="00C813A9">
              <w:rPr>
                <w:sz w:val="22"/>
                <w:szCs w:val="22"/>
              </w:rPr>
              <w:t>Workshops held with the Estates Hard and Soft FM teams, Environment and Energy Team and academics</w:t>
            </w:r>
            <w:r w:rsidR="001904CB" w:rsidRPr="00C813A9">
              <w:rPr>
                <w:sz w:val="22"/>
                <w:szCs w:val="22"/>
              </w:rPr>
              <w:t xml:space="preserve"> to inform the brief and design. </w:t>
            </w:r>
          </w:p>
          <w:p w:rsidR="00F765FF" w:rsidRPr="00C813A9" w:rsidRDefault="00F765FF" w:rsidP="003F1001">
            <w:pPr>
              <w:pStyle w:val="ListParagraph"/>
              <w:numPr>
                <w:ilvl w:val="0"/>
                <w:numId w:val="29"/>
              </w:numPr>
              <w:rPr>
                <w:sz w:val="22"/>
                <w:szCs w:val="22"/>
              </w:rPr>
            </w:pPr>
            <w:r w:rsidRPr="00C813A9">
              <w:rPr>
                <w:sz w:val="22"/>
                <w:szCs w:val="22"/>
              </w:rPr>
              <w:t xml:space="preserve">A project ecology steering group was formed to oversee the landscaping and ecology strategy involving academics from SciTech and representatives of the Estates. </w:t>
            </w:r>
          </w:p>
          <w:p w:rsidR="00AE1BC0" w:rsidRPr="00C813A9" w:rsidRDefault="00AE1BC0" w:rsidP="003F1001">
            <w:pPr>
              <w:pStyle w:val="ListParagraph"/>
              <w:numPr>
                <w:ilvl w:val="0"/>
                <w:numId w:val="29"/>
              </w:numPr>
              <w:rPr>
                <w:sz w:val="22"/>
                <w:szCs w:val="22"/>
              </w:rPr>
            </w:pPr>
            <w:r w:rsidRPr="00C813A9">
              <w:rPr>
                <w:sz w:val="22"/>
                <w:szCs w:val="22"/>
              </w:rPr>
              <w:t xml:space="preserve">Project Request and Business Cases reviewed and approved by various stakeholders including the Project Board, </w:t>
            </w:r>
            <w:r w:rsidR="00B33C7F" w:rsidRPr="00C813A9">
              <w:rPr>
                <w:sz w:val="22"/>
                <w:szCs w:val="22"/>
              </w:rPr>
              <w:t>Finance,</w:t>
            </w:r>
            <w:r w:rsidRPr="00C813A9">
              <w:rPr>
                <w:sz w:val="22"/>
                <w:szCs w:val="22"/>
              </w:rPr>
              <w:t xml:space="preserve"> Procurement, Legal, Environment and Energy and the PMO. </w:t>
            </w:r>
          </w:p>
          <w:p w:rsidR="00725797" w:rsidRPr="005655BB" w:rsidRDefault="00725797" w:rsidP="003F1001">
            <w:pPr>
              <w:pStyle w:val="ListParagraph"/>
              <w:numPr>
                <w:ilvl w:val="0"/>
                <w:numId w:val="29"/>
              </w:numPr>
              <w:rPr>
                <w:sz w:val="22"/>
                <w:szCs w:val="22"/>
              </w:rPr>
            </w:pPr>
            <w:r w:rsidRPr="00C813A9">
              <w:rPr>
                <w:sz w:val="22"/>
                <w:szCs w:val="22"/>
              </w:rPr>
              <w:t xml:space="preserve">Feedback sought via a Public Consultation process undertaken during Oct to Dec 2013. This included a Staff and Student exhibition on XX. The feedback from this process has been recorded in a consultation report which is available via the project microsite </w:t>
            </w:r>
            <w:r w:rsidR="009B278D" w:rsidRPr="009B278D">
              <w:rPr>
                <w:sz w:val="22"/>
                <w:szCs w:val="22"/>
              </w:rPr>
              <w:t xml:space="preserve">          </w:t>
            </w:r>
            <w:hyperlink r:id="rId12" w:history="1">
              <w:r w:rsidR="009B278D" w:rsidRPr="005655BB">
                <w:rPr>
                  <w:rStyle w:val="Hyperlink"/>
                  <w:sz w:val="22"/>
                  <w:szCs w:val="22"/>
                </w:rPr>
                <w:t>http://microsites.bournemouth.ac.uk/new-                                                           academic-building/</w:t>
              </w:r>
            </w:hyperlink>
          </w:p>
          <w:p w:rsidR="000A5A46" w:rsidRPr="005655BB" w:rsidRDefault="000A5A46" w:rsidP="003F1001">
            <w:pPr>
              <w:rPr>
                <w:sz w:val="22"/>
                <w:szCs w:val="22"/>
              </w:rPr>
            </w:pPr>
          </w:p>
          <w:p w:rsidR="003F1001" w:rsidRPr="00C813A9" w:rsidRDefault="003F1001" w:rsidP="003F1001">
            <w:pPr>
              <w:rPr>
                <w:sz w:val="22"/>
                <w:szCs w:val="22"/>
              </w:rPr>
            </w:pPr>
            <w:r w:rsidRPr="00C813A9">
              <w:rPr>
                <w:sz w:val="22"/>
                <w:szCs w:val="22"/>
              </w:rPr>
              <w:lastRenderedPageBreak/>
              <w:t xml:space="preserve">External </w:t>
            </w:r>
          </w:p>
          <w:p w:rsidR="003F1001" w:rsidRPr="00C813A9" w:rsidRDefault="003F1001" w:rsidP="003F1001">
            <w:pPr>
              <w:pStyle w:val="ListParagraph"/>
              <w:numPr>
                <w:ilvl w:val="0"/>
                <w:numId w:val="29"/>
              </w:numPr>
              <w:rPr>
                <w:sz w:val="22"/>
                <w:szCs w:val="22"/>
              </w:rPr>
            </w:pPr>
            <w:r w:rsidRPr="00C813A9">
              <w:rPr>
                <w:sz w:val="22"/>
                <w:szCs w:val="22"/>
              </w:rPr>
              <w:t xml:space="preserve">Design in accordance with Building Regulations </w:t>
            </w:r>
          </w:p>
          <w:p w:rsidR="003F1001" w:rsidRPr="00C813A9" w:rsidRDefault="003F1001" w:rsidP="003F1001">
            <w:pPr>
              <w:pStyle w:val="ListParagraph"/>
              <w:numPr>
                <w:ilvl w:val="0"/>
                <w:numId w:val="29"/>
              </w:numPr>
              <w:rPr>
                <w:sz w:val="22"/>
                <w:szCs w:val="22"/>
              </w:rPr>
            </w:pPr>
            <w:r w:rsidRPr="00C813A9">
              <w:rPr>
                <w:sz w:val="22"/>
                <w:szCs w:val="22"/>
              </w:rPr>
              <w:t>Design in accordance with relevant British Standards, i.e. BS 8300:2009 Design of Buildings and their approaches to meet the needs of disabled people</w:t>
            </w:r>
          </w:p>
          <w:p w:rsidR="003F1001" w:rsidRPr="00C813A9" w:rsidRDefault="003F1001" w:rsidP="003F1001">
            <w:pPr>
              <w:pStyle w:val="ListParagraph"/>
              <w:numPr>
                <w:ilvl w:val="0"/>
                <w:numId w:val="29"/>
              </w:numPr>
              <w:rPr>
                <w:sz w:val="22"/>
                <w:szCs w:val="22"/>
              </w:rPr>
            </w:pPr>
            <w:r w:rsidRPr="00C813A9">
              <w:rPr>
                <w:sz w:val="22"/>
                <w:szCs w:val="22"/>
              </w:rPr>
              <w:t xml:space="preserve">Advice </w:t>
            </w:r>
            <w:r w:rsidR="000C66A1" w:rsidRPr="00C813A9">
              <w:rPr>
                <w:sz w:val="22"/>
                <w:szCs w:val="22"/>
              </w:rPr>
              <w:t xml:space="preserve">to be </w:t>
            </w:r>
            <w:r w:rsidRPr="00C813A9">
              <w:rPr>
                <w:sz w:val="22"/>
                <w:szCs w:val="22"/>
              </w:rPr>
              <w:t xml:space="preserve">sought from </w:t>
            </w:r>
            <w:r w:rsidR="000C66A1" w:rsidRPr="00C813A9">
              <w:rPr>
                <w:sz w:val="22"/>
                <w:szCs w:val="22"/>
              </w:rPr>
              <w:t xml:space="preserve">an </w:t>
            </w:r>
            <w:r w:rsidR="00AE1BC0" w:rsidRPr="00C813A9">
              <w:rPr>
                <w:sz w:val="22"/>
                <w:szCs w:val="22"/>
              </w:rPr>
              <w:t>accessibility</w:t>
            </w:r>
            <w:r w:rsidR="000C66A1" w:rsidRPr="00C813A9">
              <w:rPr>
                <w:sz w:val="22"/>
                <w:szCs w:val="22"/>
              </w:rPr>
              <w:t xml:space="preserve"> consultant</w:t>
            </w:r>
          </w:p>
          <w:p w:rsidR="005655BB" w:rsidRPr="005655BB" w:rsidRDefault="00725797" w:rsidP="005655BB">
            <w:pPr>
              <w:pStyle w:val="ListParagraph"/>
              <w:numPr>
                <w:ilvl w:val="0"/>
                <w:numId w:val="29"/>
              </w:numPr>
              <w:rPr>
                <w:sz w:val="22"/>
                <w:szCs w:val="22"/>
              </w:rPr>
            </w:pPr>
            <w:r w:rsidRPr="00C813A9">
              <w:rPr>
                <w:sz w:val="22"/>
                <w:szCs w:val="22"/>
              </w:rPr>
              <w:t>Feedback sought via a Public Consultation process undertaken during Oct to Dec 2013. This included regular newsletters to local residents, a</w:t>
            </w:r>
            <w:r w:rsidR="00AE6CB0">
              <w:rPr>
                <w:sz w:val="22"/>
                <w:szCs w:val="22"/>
              </w:rPr>
              <w:t>d</w:t>
            </w:r>
            <w:r w:rsidRPr="00C813A9">
              <w:rPr>
                <w:sz w:val="22"/>
                <w:szCs w:val="22"/>
              </w:rPr>
              <w:t>verts in</w:t>
            </w:r>
            <w:r w:rsidR="00AE6CB0">
              <w:rPr>
                <w:sz w:val="22"/>
                <w:szCs w:val="22"/>
              </w:rPr>
              <w:t xml:space="preserve"> the </w:t>
            </w:r>
            <w:r w:rsidRPr="00C813A9">
              <w:rPr>
                <w:sz w:val="22"/>
                <w:szCs w:val="22"/>
              </w:rPr>
              <w:t xml:space="preserve">local press, the provision of information via a microsite and a public exhibition held on </w:t>
            </w:r>
            <w:r w:rsidR="005655BB">
              <w:rPr>
                <w:sz w:val="22"/>
                <w:szCs w:val="22"/>
              </w:rPr>
              <w:t>4</w:t>
            </w:r>
            <w:r w:rsidR="005655BB" w:rsidRPr="005655BB">
              <w:rPr>
                <w:sz w:val="22"/>
                <w:szCs w:val="22"/>
                <w:vertAlign w:val="superscript"/>
              </w:rPr>
              <w:t>th</w:t>
            </w:r>
            <w:r w:rsidR="005655BB">
              <w:rPr>
                <w:sz w:val="22"/>
                <w:szCs w:val="22"/>
              </w:rPr>
              <w:t xml:space="preserve"> December 2013</w:t>
            </w:r>
            <w:r w:rsidRPr="00C813A9">
              <w:rPr>
                <w:sz w:val="22"/>
                <w:szCs w:val="22"/>
              </w:rPr>
              <w:t>. The feedback from this process has been recorded in a consultation report which is available via the project microsite</w:t>
            </w:r>
            <w:r w:rsidR="005655BB">
              <w:rPr>
                <w:sz w:val="22"/>
                <w:szCs w:val="22"/>
              </w:rPr>
              <w:t xml:space="preserve"> </w:t>
            </w:r>
            <w:r w:rsidRPr="00C813A9">
              <w:rPr>
                <w:sz w:val="22"/>
                <w:szCs w:val="22"/>
              </w:rPr>
              <w:t xml:space="preserve">  </w:t>
            </w:r>
            <w:hyperlink r:id="rId13" w:history="1">
              <w:r w:rsidR="005655BB" w:rsidRPr="005655BB">
                <w:rPr>
                  <w:rStyle w:val="Hyperlink"/>
                  <w:sz w:val="22"/>
                  <w:szCs w:val="22"/>
                </w:rPr>
                <w:t>http://microsites.bournemouth.ac.uk/new-                                                           academic-building/</w:t>
              </w:r>
            </w:hyperlink>
            <w:r w:rsidR="005655BB">
              <w:rPr>
                <w:sz w:val="22"/>
                <w:szCs w:val="22"/>
              </w:rPr>
              <w:t>.</w:t>
            </w:r>
          </w:p>
          <w:p w:rsidR="0083497D" w:rsidRPr="00C813A9" w:rsidRDefault="0083497D" w:rsidP="00725797">
            <w:pPr>
              <w:pStyle w:val="ListParagraph"/>
              <w:numPr>
                <w:ilvl w:val="0"/>
                <w:numId w:val="29"/>
              </w:numPr>
              <w:rPr>
                <w:sz w:val="22"/>
                <w:szCs w:val="22"/>
              </w:rPr>
            </w:pPr>
            <w:r w:rsidRPr="00C813A9">
              <w:rPr>
                <w:sz w:val="22"/>
                <w:szCs w:val="22"/>
              </w:rPr>
              <w:t xml:space="preserve">Numerous external bodies consulted via a formal pre-application process including the Borough of Poole, Dorset Police Local Architectural Liaison officer, Natural England, English Heritage, Environment Agency, utility providers and telecoms. </w:t>
            </w:r>
          </w:p>
          <w:p w:rsidR="00725797" w:rsidRPr="00C813A9" w:rsidRDefault="00725797" w:rsidP="00725797">
            <w:pPr>
              <w:pStyle w:val="ListParagraph"/>
              <w:rPr>
                <w:sz w:val="22"/>
                <w:szCs w:val="22"/>
              </w:rPr>
            </w:pPr>
          </w:p>
          <w:p w:rsidR="003F1001" w:rsidRPr="00C813A9" w:rsidRDefault="003F1001" w:rsidP="003F1001">
            <w:pPr>
              <w:rPr>
                <w:sz w:val="22"/>
                <w:szCs w:val="22"/>
              </w:rPr>
            </w:pPr>
          </w:p>
        </w:tc>
      </w:tr>
      <w:tr w:rsidR="006449B2" w:rsidRPr="007F05C5" w:rsidTr="00B54D82">
        <w:tc>
          <w:tcPr>
            <w:tcW w:w="709" w:type="dxa"/>
          </w:tcPr>
          <w:p w:rsidR="006449B2" w:rsidRPr="007F05C5" w:rsidRDefault="006449B2" w:rsidP="00A164E7">
            <w:pPr>
              <w:rPr>
                <w:sz w:val="22"/>
                <w:szCs w:val="22"/>
              </w:rPr>
            </w:pPr>
            <w:r w:rsidRPr="007F05C5">
              <w:rPr>
                <w:sz w:val="22"/>
                <w:szCs w:val="22"/>
              </w:rPr>
              <w:lastRenderedPageBreak/>
              <w:t>2.3</w:t>
            </w:r>
          </w:p>
        </w:tc>
        <w:tc>
          <w:tcPr>
            <w:tcW w:w="8931" w:type="dxa"/>
          </w:tcPr>
          <w:p w:rsidR="006449B2" w:rsidRPr="00A10800" w:rsidRDefault="00C9325C" w:rsidP="00A164E7">
            <w:pPr>
              <w:rPr>
                <w:sz w:val="22"/>
                <w:szCs w:val="22"/>
              </w:rPr>
            </w:pPr>
            <w:r>
              <w:rPr>
                <w:sz w:val="22"/>
                <w:szCs w:val="22"/>
              </w:rPr>
              <w:t>How will</w:t>
            </w:r>
            <w:r w:rsidR="006449B2" w:rsidRPr="00A10800">
              <w:rPr>
                <w:sz w:val="22"/>
                <w:szCs w:val="22"/>
              </w:rPr>
              <w:t xml:space="preserve"> the collected i</w:t>
            </w:r>
            <w:r>
              <w:rPr>
                <w:sz w:val="22"/>
                <w:szCs w:val="22"/>
              </w:rPr>
              <w:t>nformation be</w:t>
            </w:r>
            <w:r w:rsidR="006449B2" w:rsidRPr="00A10800">
              <w:rPr>
                <w:sz w:val="22"/>
                <w:szCs w:val="22"/>
              </w:rPr>
              <w:t xml:space="preserve"> used to inform the first assessment and subsequent review?</w:t>
            </w:r>
          </w:p>
        </w:tc>
        <w:tc>
          <w:tcPr>
            <w:tcW w:w="6237" w:type="dxa"/>
            <w:gridSpan w:val="9"/>
          </w:tcPr>
          <w:p w:rsidR="006449B2" w:rsidRDefault="004E7C1E" w:rsidP="004E7C1E">
            <w:pPr>
              <w:rPr>
                <w:sz w:val="22"/>
                <w:szCs w:val="22"/>
              </w:rPr>
            </w:pPr>
            <w:r>
              <w:rPr>
                <w:sz w:val="22"/>
                <w:szCs w:val="22"/>
              </w:rPr>
              <w:t>By infor</w:t>
            </w:r>
            <w:r w:rsidR="0017236E">
              <w:rPr>
                <w:sz w:val="22"/>
                <w:szCs w:val="22"/>
              </w:rPr>
              <w:t xml:space="preserve">ming the brief for the project and the subsequent design concept. </w:t>
            </w:r>
          </w:p>
          <w:p w:rsidR="0017236E" w:rsidRPr="007F05C5" w:rsidRDefault="0017236E" w:rsidP="004E7C1E">
            <w:pPr>
              <w:rPr>
                <w:sz w:val="22"/>
                <w:szCs w:val="22"/>
              </w:rPr>
            </w:pPr>
          </w:p>
        </w:tc>
      </w:tr>
      <w:tr w:rsidR="006449B2" w:rsidRPr="007F05C5" w:rsidTr="00B54D82">
        <w:tc>
          <w:tcPr>
            <w:tcW w:w="709" w:type="dxa"/>
            <w:shd w:val="clear" w:color="auto" w:fill="D9D9D9" w:themeFill="background1" w:themeFillShade="D9"/>
          </w:tcPr>
          <w:p w:rsidR="006449B2" w:rsidRPr="007F05C5" w:rsidRDefault="006449B2" w:rsidP="00A164E7">
            <w:pPr>
              <w:rPr>
                <w:b/>
                <w:sz w:val="22"/>
                <w:szCs w:val="22"/>
              </w:rPr>
            </w:pPr>
            <w:r w:rsidRPr="007F05C5">
              <w:rPr>
                <w:b/>
                <w:sz w:val="22"/>
                <w:szCs w:val="22"/>
              </w:rPr>
              <w:t>3.</w:t>
            </w:r>
          </w:p>
        </w:tc>
        <w:tc>
          <w:tcPr>
            <w:tcW w:w="8931" w:type="dxa"/>
            <w:shd w:val="clear" w:color="auto" w:fill="D9D9D9" w:themeFill="background1" w:themeFillShade="D9"/>
          </w:tcPr>
          <w:p w:rsidR="006449B2" w:rsidRPr="00A10800" w:rsidRDefault="006449B2" w:rsidP="00A164E7">
            <w:pPr>
              <w:rPr>
                <w:b/>
                <w:sz w:val="22"/>
                <w:szCs w:val="22"/>
              </w:rPr>
            </w:pPr>
            <w:r w:rsidRPr="00A10800">
              <w:rPr>
                <w:b/>
                <w:sz w:val="22"/>
                <w:szCs w:val="22"/>
              </w:rPr>
              <w:t>Equality relevance</w:t>
            </w:r>
          </w:p>
        </w:tc>
        <w:tc>
          <w:tcPr>
            <w:tcW w:w="6237" w:type="dxa"/>
            <w:gridSpan w:val="9"/>
            <w:shd w:val="clear" w:color="auto" w:fill="D9D9D9" w:themeFill="background1" w:themeFillShade="D9"/>
          </w:tcPr>
          <w:p w:rsidR="006449B2" w:rsidRPr="007F05C5" w:rsidRDefault="006449B2" w:rsidP="00A164E7">
            <w:pPr>
              <w:jc w:val="center"/>
              <w:rPr>
                <w:b/>
                <w:sz w:val="22"/>
                <w:szCs w:val="22"/>
              </w:rPr>
            </w:pPr>
          </w:p>
        </w:tc>
      </w:tr>
      <w:tr w:rsidR="006449B2" w:rsidRPr="007F05C5" w:rsidTr="00B54D82">
        <w:trPr>
          <w:cantSplit/>
          <w:trHeight w:val="1740"/>
        </w:trPr>
        <w:tc>
          <w:tcPr>
            <w:tcW w:w="709" w:type="dxa"/>
            <w:shd w:val="clear" w:color="auto" w:fill="D9D9D9" w:themeFill="background1" w:themeFillShade="D9"/>
          </w:tcPr>
          <w:p w:rsidR="006449B2" w:rsidRPr="007F05C5" w:rsidRDefault="006449B2" w:rsidP="00A164E7">
            <w:pPr>
              <w:rPr>
                <w:b/>
                <w:sz w:val="22"/>
                <w:szCs w:val="22"/>
              </w:rPr>
            </w:pPr>
          </w:p>
        </w:tc>
        <w:tc>
          <w:tcPr>
            <w:tcW w:w="8931" w:type="dxa"/>
            <w:shd w:val="clear" w:color="auto" w:fill="D9D9D9" w:themeFill="background1" w:themeFillShade="D9"/>
          </w:tcPr>
          <w:p w:rsidR="006449B2" w:rsidRPr="00A10800" w:rsidRDefault="006449B2" w:rsidP="00A164E7">
            <w:pPr>
              <w:rPr>
                <w:b/>
                <w:sz w:val="22"/>
                <w:szCs w:val="22"/>
              </w:rPr>
            </w:pPr>
            <w:r w:rsidRPr="00A10800">
              <w:rPr>
                <w:rFonts w:eastAsia="SimSun" w:cs="Arial"/>
                <w:b/>
                <w:sz w:val="22"/>
                <w:szCs w:val="22"/>
                <w:lang w:eastAsia="zh-CN"/>
              </w:rPr>
              <w:t>When undertaking an assessment policy owners are required to complete the equality relevance table by indicating whether or not the policy has a: positive impact (PI), negative impact (NI) or no impact (N</w:t>
            </w:r>
            <w:r w:rsidRPr="00A60D61">
              <w:rPr>
                <w:rFonts w:eastAsia="SimSun" w:cs="Arial"/>
                <w:b/>
                <w:sz w:val="22"/>
                <w:szCs w:val="22"/>
                <w:lang w:eastAsia="zh-CN"/>
              </w:rPr>
              <w:t>O</w:t>
            </w:r>
            <w:r w:rsidRPr="00A10800">
              <w:rPr>
                <w:rFonts w:eastAsia="SimSun" w:cs="Arial"/>
                <w:b/>
                <w:sz w:val="22"/>
                <w:szCs w:val="22"/>
                <w:lang w:eastAsia="zh-CN"/>
              </w:rPr>
              <w:t>). Any decision taken when completing this table will need to take into consideration available equality information.</w:t>
            </w:r>
          </w:p>
        </w:tc>
        <w:tc>
          <w:tcPr>
            <w:tcW w:w="567" w:type="dxa"/>
            <w:shd w:val="clear" w:color="auto" w:fill="D9D9D9" w:themeFill="background1" w:themeFillShade="D9"/>
            <w:textDirection w:val="btLr"/>
            <w:vAlign w:val="center"/>
          </w:tcPr>
          <w:p w:rsidR="006449B2" w:rsidRPr="007F05C5" w:rsidRDefault="006449B2" w:rsidP="00A164E7">
            <w:pPr>
              <w:ind w:left="113" w:right="113"/>
              <w:jc w:val="center"/>
              <w:rPr>
                <w:b/>
                <w:sz w:val="22"/>
                <w:szCs w:val="22"/>
              </w:rPr>
            </w:pPr>
            <w:r w:rsidRPr="007F05C5">
              <w:rPr>
                <w:rFonts w:eastAsia="SimSun" w:cs="Arial"/>
                <w:b/>
                <w:sz w:val="22"/>
                <w:szCs w:val="22"/>
                <w:lang w:eastAsia="zh-CN"/>
              </w:rPr>
              <w:t>Age</w:t>
            </w:r>
          </w:p>
        </w:tc>
        <w:tc>
          <w:tcPr>
            <w:tcW w:w="709" w:type="dxa"/>
            <w:shd w:val="clear" w:color="auto" w:fill="D9D9D9" w:themeFill="background1" w:themeFillShade="D9"/>
            <w:textDirection w:val="btLr"/>
            <w:vAlign w:val="center"/>
          </w:tcPr>
          <w:p w:rsidR="006449B2" w:rsidRPr="007F05C5" w:rsidRDefault="006449B2" w:rsidP="00A164E7">
            <w:pPr>
              <w:ind w:left="113" w:right="113"/>
              <w:jc w:val="center"/>
              <w:rPr>
                <w:b/>
                <w:sz w:val="22"/>
                <w:szCs w:val="22"/>
              </w:rPr>
            </w:pPr>
            <w:r w:rsidRPr="007F05C5">
              <w:rPr>
                <w:rFonts w:eastAsia="SimSun" w:cs="Arial"/>
                <w:b/>
                <w:sz w:val="22"/>
                <w:szCs w:val="22"/>
                <w:lang w:eastAsia="zh-CN"/>
              </w:rPr>
              <w:t>Disability</w:t>
            </w:r>
          </w:p>
        </w:tc>
        <w:tc>
          <w:tcPr>
            <w:tcW w:w="567" w:type="dxa"/>
            <w:shd w:val="clear" w:color="auto" w:fill="D9D9D9" w:themeFill="background1" w:themeFillShade="D9"/>
            <w:textDirection w:val="btLr"/>
            <w:vAlign w:val="center"/>
          </w:tcPr>
          <w:p w:rsidR="006449B2" w:rsidRPr="007F05C5" w:rsidRDefault="006449B2" w:rsidP="00A164E7">
            <w:pPr>
              <w:ind w:left="113" w:right="113"/>
              <w:jc w:val="center"/>
              <w:rPr>
                <w:b/>
                <w:sz w:val="22"/>
                <w:szCs w:val="22"/>
              </w:rPr>
            </w:pPr>
            <w:r w:rsidRPr="007F05C5">
              <w:rPr>
                <w:rFonts w:eastAsia="SimSun" w:cs="Arial"/>
                <w:b/>
                <w:sz w:val="22"/>
                <w:szCs w:val="22"/>
                <w:lang w:eastAsia="zh-CN"/>
              </w:rPr>
              <w:t>Gender</w:t>
            </w:r>
          </w:p>
        </w:tc>
        <w:tc>
          <w:tcPr>
            <w:tcW w:w="850" w:type="dxa"/>
            <w:shd w:val="clear" w:color="auto" w:fill="D9D9D9" w:themeFill="background1" w:themeFillShade="D9"/>
            <w:textDirection w:val="btLr"/>
            <w:vAlign w:val="center"/>
          </w:tcPr>
          <w:p w:rsidR="006449B2" w:rsidRPr="007F05C5" w:rsidRDefault="006449B2" w:rsidP="00A164E7">
            <w:pPr>
              <w:ind w:left="113" w:right="113"/>
              <w:jc w:val="center"/>
              <w:rPr>
                <w:b/>
                <w:sz w:val="22"/>
                <w:szCs w:val="22"/>
              </w:rPr>
            </w:pPr>
            <w:r w:rsidRPr="007F05C5">
              <w:rPr>
                <w:rFonts w:eastAsia="SimSun" w:cs="Arial"/>
                <w:b/>
                <w:sz w:val="22"/>
                <w:szCs w:val="22"/>
                <w:lang w:eastAsia="zh-CN"/>
              </w:rPr>
              <w:t>Gender Reassignment</w:t>
            </w:r>
          </w:p>
        </w:tc>
        <w:tc>
          <w:tcPr>
            <w:tcW w:w="709" w:type="dxa"/>
            <w:shd w:val="clear" w:color="auto" w:fill="D9D9D9" w:themeFill="background1" w:themeFillShade="D9"/>
            <w:textDirection w:val="btLr"/>
            <w:vAlign w:val="center"/>
          </w:tcPr>
          <w:p w:rsidR="006449B2" w:rsidRPr="007F05C5" w:rsidRDefault="006449B2" w:rsidP="00A164E7">
            <w:pPr>
              <w:ind w:left="113" w:right="113"/>
              <w:jc w:val="center"/>
              <w:rPr>
                <w:rFonts w:eastAsia="SimSun" w:cs="Arial"/>
                <w:b/>
                <w:sz w:val="22"/>
                <w:szCs w:val="22"/>
                <w:lang w:eastAsia="zh-CN"/>
              </w:rPr>
            </w:pPr>
            <w:r w:rsidRPr="007F05C5">
              <w:rPr>
                <w:rFonts w:eastAsia="SimSun" w:cs="Arial"/>
                <w:b/>
                <w:sz w:val="22"/>
                <w:szCs w:val="22"/>
                <w:lang w:eastAsia="zh-CN"/>
              </w:rPr>
              <w:t>Pregnancy/</w:t>
            </w:r>
          </w:p>
          <w:p w:rsidR="006449B2" w:rsidRPr="007F05C5" w:rsidRDefault="006449B2" w:rsidP="00A164E7">
            <w:pPr>
              <w:ind w:left="113" w:right="113"/>
              <w:jc w:val="center"/>
              <w:rPr>
                <w:b/>
                <w:sz w:val="22"/>
                <w:szCs w:val="22"/>
              </w:rPr>
            </w:pPr>
            <w:r w:rsidRPr="007F05C5">
              <w:rPr>
                <w:rFonts w:eastAsia="SimSun" w:cs="Arial"/>
                <w:b/>
                <w:sz w:val="22"/>
                <w:szCs w:val="22"/>
                <w:lang w:eastAsia="zh-CN"/>
              </w:rPr>
              <w:t>Maternity</w:t>
            </w:r>
          </w:p>
        </w:tc>
        <w:tc>
          <w:tcPr>
            <w:tcW w:w="567" w:type="dxa"/>
            <w:shd w:val="clear" w:color="auto" w:fill="D9D9D9" w:themeFill="background1" w:themeFillShade="D9"/>
            <w:textDirection w:val="btLr"/>
            <w:vAlign w:val="center"/>
          </w:tcPr>
          <w:p w:rsidR="006449B2" w:rsidRPr="007F05C5" w:rsidRDefault="006449B2" w:rsidP="00A164E7">
            <w:pPr>
              <w:ind w:left="113" w:right="113"/>
              <w:jc w:val="center"/>
              <w:rPr>
                <w:b/>
                <w:sz w:val="22"/>
                <w:szCs w:val="22"/>
              </w:rPr>
            </w:pPr>
            <w:r w:rsidRPr="007F05C5">
              <w:rPr>
                <w:rFonts w:eastAsia="SimSun" w:cs="Arial"/>
                <w:b/>
                <w:sz w:val="22"/>
                <w:szCs w:val="22"/>
                <w:lang w:eastAsia="zh-CN"/>
              </w:rPr>
              <w:t>Race</w:t>
            </w:r>
          </w:p>
        </w:tc>
        <w:tc>
          <w:tcPr>
            <w:tcW w:w="709" w:type="dxa"/>
            <w:shd w:val="clear" w:color="auto" w:fill="D9D9D9" w:themeFill="background1" w:themeFillShade="D9"/>
            <w:textDirection w:val="btLr"/>
            <w:vAlign w:val="center"/>
          </w:tcPr>
          <w:p w:rsidR="006449B2" w:rsidRPr="007F05C5" w:rsidRDefault="006449B2" w:rsidP="00A164E7">
            <w:pPr>
              <w:ind w:left="113" w:right="113"/>
              <w:jc w:val="center"/>
              <w:rPr>
                <w:b/>
                <w:sz w:val="22"/>
                <w:szCs w:val="22"/>
              </w:rPr>
            </w:pPr>
            <w:r w:rsidRPr="007F05C5">
              <w:rPr>
                <w:rFonts w:eastAsia="SimSun" w:cs="Arial"/>
                <w:b/>
                <w:sz w:val="22"/>
                <w:szCs w:val="22"/>
                <w:lang w:eastAsia="zh-CN"/>
              </w:rPr>
              <w:t>Religion or belief</w:t>
            </w:r>
          </w:p>
        </w:tc>
        <w:tc>
          <w:tcPr>
            <w:tcW w:w="708" w:type="dxa"/>
            <w:shd w:val="clear" w:color="auto" w:fill="D9D9D9" w:themeFill="background1" w:themeFillShade="D9"/>
            <w:textDirection w:val="btLr"/>
            <w:vAlign w:val="center"/>
          </w:tcPr>
          <w:p w:rsidR="006449B2" w:rsidRPr="007F05C5" w:rsidRDefault="006449B2" w:rsidP="00A164E7">
            <w:pPr>
              <w:ind w:left="113" w:right="113"/>
              <w:jc w:val="center"/>
              <w:rPr>
                <w:rFonts w:eastAsia="SimSun" w:cs="Arial"/>
                <w:b/>
                <w:sz w:val="22"/>
                <w:szCs w:val="22"/>
                <w:lang w:eastAsia="zh-CN"/>
              </w:rPr>
            </w:pPr>
            <w:r w:rsidRPr="007F05C5">
              <w:rPr>
                <w:rFonts w:eastAsia="SimSun" w:cs="Arial"/>
                <w:b/>
                <w:sz w:val="22"/>
                <w:szCs w:val="22"/>
                <w:lang w:eastAsia="zh-CN"/>
              </w:rPr>
              <w:t xml:space="preserve">Sexual </w:t>
            </w:r>
          </w:p>
          <w:p w:rsidR="006449B2" w:rsidRPr="007F05C5" w:rsidRDefault="006449B2" w:rsidP="00A164E7">
            <w:pPr>
              <w:ind w:left="113" w:right="113"/>
              <w:jc w:val="center"/>
              <w:rPr>
                <w:b/>
                <w:sz w:val="22"/>
                <w:szCs w:val="22"/>
              </w:rPr>
            </w:pPr>
            <w:r w:rsidRPr="007F05C5">
              <w:rPr>
                <w:rFonts w:eastAsia="SimSun" w:cs="Arial"/>
                <w:b/>
                <w:sz w:val="22"/>
                <w:szCs w:val="22"/>
                <w:lang w:eastAsia="zh-CN"/>
              </w:rPr>
              <w:t>Orientation</w:t>
            </w:r>
          </w:p>
        </w:tc>
        <w:tc>
          <w:tcPr>
            <w:tcW w:w="851" w:type="dxa"/>
            <w:shd w:val="clear" w:color="auto" w:fill="D9D9D9" w:themeFill="background1" w:themeFillShade="D9"/>
            <w:textDirection w:val="btLr"/>
            <w:vAlign w:val="center"/>
          </w:tcPr>
          <w:p w:rsidR="006449B2" w:rsidRPr="007F05C5" w:rsidRDefault="006449B2" w:rsidP="00A164E7">
            <w:pPr>
              <w:ind w:left="113" w:right="113"/>
              <w:jc w:val="center"/>
              <w:rPr>
                <w:rFonts w:eastAsia="SimSun" w:cs="Arial"/>
                <w:b/>
                <w:sz w:val="22"/>
                <w:szCs w:val="22"/>
                <w:lang w:eastAsia="zh-CN"/>
              </w:rPr>
            </w:pPr>
            <w:r w:rsidRPr="007F05C5">
              <w:rPr>
                <w:rFonts w:eastAsia="SimSun" w:cs="Arial"/>
                <w:b/>
                <w:sz w:val="22"/>
                <w:szCs w:val="22"/>
                <w:lang w:eastAsia="zh-CN"/>
              </w:rPr>
              <w:t>Marriage/civil</w:t>
            </w:r>
          </w:p>
          <w:p w:rsidR="006449B2" w:rsidRPr="007F05C5" w:rsidRDefault="006449B2" w:rsidP="00A164E7">
            <w:pPr>
              <w:ind w:left="113" w:right="113"/>
              <w:jc w:val="center"/>
              <w:rPr>
                <w:b/>
                <w:sz w:val="22"/>
                <w:szCs w:val="22"/>
              </w:rPr>
            </w:pPr>
            <w:r w:rsidRPr="007F05C5">
              <w:rPr>
                <w:rFonts w:eastAsia="SimSun" w:cs="Arial"/>
                <w:b/>
                <w:sz w:val="22"/>
                <w:szCs w:val="22"/>
                <w:lang w:eastAsia="zh-CN"/>
              </w:rPr>
              <w:t>partnership</w:t>
            </w:r>
          </w:p>
        </w:tc>
      </w:tr>
      <w:tr w:rsidR="006449B2" w:rsidRPr="007F05C5" w:rsidTr="00B54D82">
        <w:trPr>
          <w:trHeight w:val="588"/>
        </w:trPr>
        <w:tc>
          <w:tcPr>
            <w:tcW w:w="709" w:type="dxa"/>
            <w:shd w:val="clear" w:color="auto" w:fill="FFFFFF" w:themeFill="background1"/>
          </w:tcPr>
          <w:p w:rsidR="006449B2" w:rsidRPr="007F05C5" w:rsidRDefault="006449B2" w:rsidP="00A164E7">
            <w:pPr>
              <w:rPr>
                <w:sz w:val="22"/>
                <w:szCs w:val="22"/>
              </w:rPr>
            </w:pPr>
            <w:r w:rsidRPr="007F05C5">
              <w:rPr>
                <w:sz w:val="22"/>
                <w:szCs w:val="22"/>
              </w:rPr>
              <w:t>3.1</w:t>
            </w:r>
          </w:p>
        </w:tc>
        <w:tc>
          <w:tcPr>
            <w:tcW w:w="8931" w:type="dxa"/>
            <w:shd w:val="clear" w:color="auto" w:fill="FFFFFF" w:themeFill="background1"/>
          </w:tcPr>
          <w:p w:rsidR="006449B2" w:rsidRPr="00A10800" w:rsidRDefault="006449B2" w:rsidP="00A164E7">
            <w:pPr>
              <w:rPr>
                <w:sz w:val="22"/>
                <w:szCs w:val="22"/>
              </w:rPr>
            </w:pPr>
            <w:r w:rsidRPr="00A10800">
              <w:rPr>
                <w:rFonts w:eastAsia="Calibri" w:cs="Times New Roman"/>
                <w:sz w:val="22"/>
                <w:szCs w:val="22"/>
              </w:rPr>
              <w:t>Does the BU policy have a positive, negative or no impact in terms of addressing prejudice by fostering good relations among people with a protected characteristic and those who do not at the University?</w:t>
            </w:r>
          </w:p>
        </w:tc>
        <w:tc>
          <w:tcPr>
            <w:tcW w:w="567" w:type="dxa"/>
            <w:shd w:val="clear" w:color="auto" w:fill="FFFFFF" w:themeFill="background1"/>
          </w:tcPr>
          <w:p w:rsidR="006449B2" w:rsidRPr="007F05C5" w:rsidRDefault="0026594C" w:rsidP="00A164E7">
            <w:pPr>
              <w:jc w:val="center"/>
              <w:rPr>
                <w:sz w:val="22"/>
                <w:szCs w:val="22"/>
              </w:rPr>
            </w:pPr>
            <w:r>
              <w:rPr>
                <w:sz w:val="22"/>
                <w:szCs w:val="22"/>
              </w:rPr>
              <w:t>NO</w:t>
            </w:r>
          </w:p>
        </w:tc>
        <w:tc>
          <w:tcPr>
            <w:tcW w:w="709" w:type="dxa"/>
            <w:shd w:val="clear" w:color="auto" w:fill="FFFFFF" w:themeFill="background1"/>
          </w:tcPr>
          <w:p w:rsidR="006449B2" w:rsidRPr="007F05C5" w:rsidRDefault="0026594C" w:rsidP="00A164E7">
            <w:pPr>
              <w:jc w:val="center"/>
              <w:rPr>
                <w:sz w:val="22"/>
                <w:szCs w:val="22"/>
              </w:rPr>
            </w:pPr>
            <w:r>
              <w:rPr>
                <w:sz w:val="22"/>
                <w:szCs w:val="22"/>
              </w:rPr>
              <w:t>NO</w:t>
            </w:r>
          </w:p>
        </w:tc>
        <w:tc>
          <w:tcPr>
            <w:tcW w:w="567" w:type="dxa"/>
            <w:shd w:val="clear" w:color="auto" w:fill="FFFFFF" w:themeFill="background1"/>
          </w:tcPr>
          <w:p w:rsidR="006449B2" w:rsidRPr="007F05C5" w:rsidRDefault="0026594C" w:rsidP="00A164E7">
            <w:pPr>
              <w:jc w:val="center"/>
              <w:rPr>
                <w:sz w:val="22"/>
                <w:szCs w:val="22"/>
              </w:rPr>
            </w:pPr>
            <w:r>
              <w:rPr>
                <w:sz w:val="22"/>
                <w:szCs w:val="22"/>
              </w:rPr>
              <w:t>NO</w:t>
            </w:r>
          </w:p>
        </w:tc>
        <w:tc>
          <w:tcPr>
            <w:tcW w:w="850" w:type="dxa"/>
            <w:shd w:val="clear" w:color="auto" w:fill="FFFFFF" w:themeFill="background1"/>
          </w:tcPr>
          <w:p w:rsidR="006449B2" w:rsidRPr="007F05C5" w:rsidRDefault="0026594C" w:rsidP="00A164E7">
            <w:pPr>
              <w:jc w:val="center"/>
              <w:rPr>
                <w:sz w:val="22"/>
                <w:szCs w:val="22"/>
              </w:rPr>
            </w:pPr>
            <w:r>
              <w:rPr>
                <w:sz w:val="22"/>
                <w:szCs w:val="22"/>
              </w:rPr>
              <w:t>NO</w:t>
            </w:r>
          </w:p>
        </w:tc>
        <w:tc>
          <w:tcPr>
            <w:tcW w:w="709" w:type="dxa"/>
            <w:shd w:val="clear" w:color="auto" w:fill="FFFFFF" w:themeFill="background1"/>
          </w:tcPr>
          <w:p w:rsidR="006449B2" w:rsidRPr="007F05C5" w:rsidRDefault="0026594C" w:rsidP="00A164E7">
            <w:pPr>
              <w:jc w:val="center"/>
              <w:rPr>
                <w:sz w:val="22"/>
                <w:szCs w:val="22"/>
              </w:rPr>
            </w:pPr>
            <w:r>
              <w:rPr>
                <w:sz w:val="22"/>
                <w:szCs w:val="22"/>
              </w:rPr>
              <w:t>NO</w:t>
            </w:r>
          </w:p>
        </w:tc>
        <w:tc>
          <w:tcPr>
            <w:tcW w:w="567" w:type="dxa"/>
            <w:shd w:val="clear" w:color="auto" w:fill="FFFFFF" w:themeFill="background1"/>
          </w:tcPr>
          <w:p w:rsidR="006449B2" w:rsidRPr="007F05C5" w:rsidRDefault="0026594C" w:rsidP="00A164E7">
            <w:pPr>
              <w:jc w:val="center"/>
              <w:rPr>
                <w:sz w:val="22"/>
                <w:szCs w:val="22"/>
              </w:rPr>
            </w:pPr>
            <w:r>
              <w:rPr>
                <w:sz w:val="22"/>
                <w:szCs w:val="22"/>
              </w:rPr>
              <w:t>NO</w:t>
            </w:r>
          </w:p>
        </w:tc>
        <w:tc>
          <w:tcPr>
            <w:tcW w:w="709" w:type="dxa"/>
            <w:shd w:val="clear" w:color="auto" w:fill="FFFFFF" w:themeFill="background1"/>
          </w:tcPr>
          <w:p w:rsidR="006449B2" w:rsidRPr="007F05C5" w:rsidRDefault="0026594C" w:rsidP="00A164E7">
            <w:pPr>
              <w:jc w:val="center"/>
              <w:rPr>
                <w:sz w:val="22"/>
                <w:szCs w:val="22"/>
              </w:rPr>
            </w:pPr>
            <w:r>
              <w:rPr>
                <w:sz w:val="22"/>
                <w:szCs w:val="22"/>
              </w:rPr>
              <w:t>NO</w:t>
            </w:r>
          </w:p>
        </w:tc>
        <w:tc>
          <w:tcPr>
            <w:tcW w:w="708" w:type="dxa"/>
            <w:shd w:val="clear" w:color="auto" w:fill="FFFFFF" w:themeFill="background1"/>
          </w:tcPr>
          <w:p w:rsidR="006449B2" w:rsidRPr="007F05C5" w:rsidRDefault="0026594C" w:rsidP="00A164E7">
            <w:pPr>
              <w:jc w:val="center"/>
              <w:rPr>
                <w:sz w:val="22"/>
                <w:szCs w:val="22"/>
              </w:rPr>
            </w:pPr>
            <w:r>
              <w:rPr>
                <w:sz w:val="22"/>
                <w:szCs w:val="22"/>
              </w:rPr>
              <w:t>NO</w:t>
            </w:r>
          </w:p>
        </w:tc>
        <w:tc>
          <w:tcPr>
            <w:tcW w:w="851" w:type="dxa"/>
            <w:shd w:val="clear" w:color="auto" w:fill="FFFFFF" w:themeFill="background1"/>
          </w:tcPr>
          <w:p w:rsidR="006449B2" w:rsidRPr="007F05C5" w:rsidRDefault="0026594C" w:rsidP="00A164E7">
            <w:pPr>
              <w:jc w:val="center"/>
              <w:rPr>
                <w:sz w:val="22"/>
                <w:szCs w:val="22"/>
              </w:rPr>
            </w:pPr>
            <w:r>
              <w:rPr>
                <w:sz w:val="22"/>
                <w:szCs w:val="22"/>
              </w:rPr>
              <w:t>NO</w:t>
            </w:r>
          </w:p>
        </w:tc>
      </w:tr>
      <w:tr w:rsidR="006449B2" w:rsidRPr="007F05C5" w:rsidTr="00B54D82">
        <w:tc>
          <w:tcPr>
            <w:tcW w:w="709" w:type="dxa"/>
            <w:shd w:val="clear" w:color="auto" w:fill="FFFFFF" w:themeFill="background1"/>
          </w:tcPr>
          <w:p w:rsidR="006449B2" w:rsidRPr="007F05C5" w:rsidRDefault="006449B2" w:rsidP="00A164E7">
            <w:pPr>
              <w:rPr>
                <w:sz w:val="22"/>
                <w:szCs w:val="22"/>
              </w:rPr>
            </w:pPr>
            <w:r w:rsidRPr="007F05C5">
              <w:rPr>
                <w:sz w:val="22"/>
                <w:szCs w:val="22"/>
              </w:rPr>
              <w:lastRenderedPageBreak/>
              <w:t>3.2</w:t>
            </w:r>
          </w:p>
        </w:tc>
        <w:tc>
          <w:tcPr>
            <w:tcW w:w="8931" w:type="dxa"/>
            <w:shd w:val="clear" w:color="auto" w:fill="FFFFFF" w:themeFill="background1"/>
          </w:tcPr>
          <w:p w:rsidR="006449B2" w:rsidRDefault="006449B2" w:rsidP="00A164E7">
            <w:pPr>
              <w:rPr>
                <w:rFonts w:eastAsia="Calibri" w:cs="Arial"/>
                <w:sz w:val="22"/>
                <w:szCs w:val="22"/>
              </w:rPr>
            </w:pPr>
            <w:r w:rsidRPr="00A10800">
              <w:rPr>
                <w:rFonts w:eastAsia="Calibri" w:cs="Times New Roman"/>
                <w:sz w:val="22"/>
                <w:szCs w:val="22"/>
              </w:rPr>
              <w:t xml:space="preserve">In advancing equality of opportunity, does the BU policy have a positive, negative or no impact in terms of removing or minimising disadvantages </w:t>
            </w:r>
            <w:r w:rsidRPr="00A10800">
              <w:rPr>
                <w:rFonts w:eastAsia="Calibri" w:cs="Arial"/>
                <w:sz w:val="22"/>
                <w:szCs w:val="22"/>
              </w:rPr>
              <w:t>suffered by people at the University due to their protected characteristics?</w:t>
            </w:r>
          </w:p>
          <w:p w:rsidR="00F961D4" w:rsidRPr="00A10800" w:rsidRDefault="00F961D4" w:rsidP="00A164E7">
            <w:pPr>
              <w:rPr>
                <w:rFonts w:eastAsia="Calibri" w:cs="Arial"/>
                <w:sz w:val="22"/>
                <w:szCs w:val="22"/>
              </w:rPr>
            </w:pPr>
          </w:p>
        </w:tc>
        <w:tc>
          <w:tcPr>
            <w:tcW w:w="567" w:type="dxa"/>
            <w:shd w:val="clear" w:color="auto" w:fill="FFFFFF" w:themeFill="background1"/>
          </w:tcPr>
          <w:p w:rsidR="006449B2" w:rsidRPr="007F05C5" w:rsidRDefault="0026594C" w:rsidP="00A164E7">
            <w:pPr>
              <w:jc w:val="center"/>
              <w:rPr>
                <w:sz w:val="22"/>
                <w:szCs w:val="22"/>
              </w:rPr>
            </w:pPr>
            <w:r>
              <w:rPr>
                <w:sz w:val="22"/>
                <w:szCs w:val="22"/>
              </w:rPr>
              <w:t>NO</w:t>
            </w:r>
          </w:p>
        </w:tc>
        <w:tc>
          <w:tcPr>
            <w:tcW w:w="709" w:type="dxa"/>
            <w:shd w:val="clear" w:color="auto" w:fill="FFFFFF" w:themeFill="background1"/>
          </w:tcPr>
          <w:p w:rsidR="006449B2" w:rsidRDefault="0026594C" w:rsidP="00A164E7">
            <w:pPr>
              <w:jc w:val="center"/>
              <w:rPr>
                <w:sz w:val="22"/>
                <w:szCs w:val="22"/>
              </w:rPr>
            </w:pPr>
            <w:r>
              <w:rPr>
                <w:sz w:val="22"/>
                <w:szCs w:val="22"/>
              </w:rPr>
              <w:t>PI</w:t>
            </w:r>
          </w:p>
          <w:p w:rsidR="0026594C" w:rsidRPr="007F05C5" w:rsidRDefault="0026594C" w:rsidP="00A164E7">
            <w:pPr>
              <w:jc w:val="center"/>
              <w:rPr>
                <w:sz w:val="22"/>
                <w:szCs w:val="22"/>
              </w:rPr>
            </w:pPr>
          </w:p>
        </w:tc>
        <w:tc>
          <w:tcPr>
            <w:tcW w:w="567" w:type="dxa"/>
            <w:shd w:val="clear" w:color="auto" w:fill="FFFFFF" w:themeFill="background1"/>
          </w:tcPr>
          <w:p w:rsidR="006449B2" w:rsidRPr="007F05C5" w:rsidRDefault="0026594C" w:rsidP="00A164E7">
            <w:pPr>
              <w:jc w:val="center"/>
              <w:rPr>
                <w:sz w:val="22"/>
                <w:szCs w:val="22"/>
              </w:rPr>
            </w:pPr>
            <w:r>
              <w:rPr>
                <w:sz w:val="22"/>
                <w:szCs w:val="22"/>
              </w:rPr>
              <w:t>NO</w:t>
            </w:r>
          </w:p>
        </w:tc>
        <w:tc>
          <w:tcPr>
            <w:tcW w:w="850" w:type="dxa"/>
            <w:shd w:val="clear" w:color="auto" w:fill="FFFFFF" w:themeFill="background1"/>
          </w:tcPr>
          <w:p w:rsidR="006449B2" w:rsidRPr="007F05C5" w:rsidRDefault="0026594C" w:rsidP="00A164E7">
            <w:pPr>
              <w:jc w:val="center"/>
              <w:rPr>
                <w:sz w:val="22"/>
                <w:szCs w:val="22"/>
              </w:rPr>
            </w:pPr>
            <w:r>
              <w:rPr>
                <w:sz w:val="22"/>
                <w:szCs w:val="22"/>
              </w:rPr>
              <w:t>PI</w:t>
            </w:r>
          </w:p>
        </w:tc>
        <w:tc>
          <w:tcPr>
            <w:tcW w:w="709" w:type="dxa"/>
            <w:shd w:val="clear" w:color="auto" w:fill="FFFFFF" w:themeFill="background1"/>
          </w:tcPr>
          <w:p w:rsidR="006449B2" w:rsidRPr="007F05C5" w:rsidRDefault="0026594C" w:rsidP="00A164E7">
            <w:pPr>
              <w:jc w:val="center"/>
              <w:rPr>
                <w:sz w:val="22"/>
                <w:szCs w:val="22"/>
              </w:rPr>
            </w:pPr>
            <w:r>
              <w:rPr>
                <w:sz w:val="22"/>
                <w:szCs w:val="22"/>
              </w:rPr>
              <w:t>NO</w:t>
            </w:r>
          </w:p>
        </w:tc>
        <w:tc>
          <w:tcPr>
            <w:tcW w:w="567" w:type="dxa"/>
            <w:shd w:val="clear" w:color="auto" w:fill="FFFFFF" w:themeFill="background1"/>
          </w:tcPr>
          <w:p w:rsidR="006449B2" w:rsidRPr="007F05C5" w:rsidRDefault="0026594C" w:rsidP="00A164E7">
            <w:pPr>
              <w:jc w:val="center"/>
              <w:rPr>
                <w:sz w:val="22"/>
                <w:szCs w:val="22"/>
              </w:rPr>
            </w:pPr>
            <w:r>
              <w:rPr>
                <w:sz w:val="22"/>
                <w:szCs w:val="22"/>
              </w:rPr>
              <w:t>NO</w:t>
            </w:r>
          </w:p>
        </w:tc>
        <w:tc>
          <w:tcPr>
            <w:tcW w:w="709" w:type="dxa"/>
            <w:shd w:val="clear" w:color="auto" w:fill="FFFFFF" w:themeFill="background1"/>
          </w:tcPr>
          <w:p w:rsidR="006449B2" w:rsidRPr="007F05C5" w:rsidRDefault="0026594C" w:rsidP="00A164E7">
            <w:pPr>
              <w:jc w:val="center"/>
              <w:rPr>
                <w:sz w:val="22"/>
                <w:szCs w:val="22"/>
              </w:rPr>
            </w:pPr>
            <w:r>
              <w:rPr>
                <w:sz w:val="22"/>
                <w:szCs w:val="22"/>
              </w:rPr>
              <w:t>NO</w:t>
            </w:r>
          </w:p>
        </w:tc>
        <w:tc>
          <w:tcPr>
            <w:tcW w:w="708" w:type="dxa"/>
            <w:shd w:val="clear" w:color="auto" w:fill="FFFFFF" w:themeFill="background1"/>
          </w:tcPr>
          <w:p w:rsidR="006449B2" w:rsidRPr="007F05C5" w:rsidRDefault="0026594C" w:rsidP="00A164E7">
            <w:pPr>
              <w:jc w:val="center"/>
              <w:rPr>
                <w:sz w:val="22"/>
                <w:szCs w:val="22"/>
              </w:rPr>
            </w:pPr>
            <w:r>
              <w:rPr>
                <w:sz w:val="22"/>
                <w:szCs w:val="22"/>
              </w:rPr>
              <w:t>NO</w:t>
            </w:r>
          </w:p>
        </w:tc>
        <w:tc>
          <w:tcPr>
            <w:tcW w:w="851" w:type="dxa"/>
            <w:shd w:val="clear" w:color="auto" w:fill="D9D9D9" w:themeFill="background1" w:themeFillShade="D9"/>
          </w:tcPr>
          <w:p w:rsidR="006449B2" w:rsidRPr="007F05C5" w:rsidRDefault="006449B2" w:rsidP="00A164E7">
            <w:pPr>
              <w:jc w:val="center"/>
              <w:rPr>
                <w:rFonts w:eastAsia="SimSun" w:cs="Arial"/>
                <w:b/>
                <w:sz w:val="22"/>
                <w:szCs w:val="22"/>
                <w:lang w:eastAsia="zh-CN"/>
              </w:rPr>
            </w:pPr>
          </w:p>
          <w:p w:rsidR="006449B2" w:rsidRPr="007F05C5" w:rsidRDefault="006449B2" w:rsidP="00A164E7">
            <w:pPr>
              <w:jc w:val="center"/>
              <w:rPr>
                <w:rFonts w:eastAsia="SimSun" w:cs="Arial"/>
                <w:b/>
                <w:sz w:val="22"/>
                <w:szCs w:val="22"/>
                <w:lang w:eastAsia="zh-CN"/>
              </w:rPr>
            </w:pPr>
            <w:r w:rsidRPr="007F05C5">
              <w:rPr>
                <w:rFonts w:eastAsia="SimSun" w:cs="Arial"/>
                <w:b/>
                <w:sz w:val="22"/>
                <w:szCs w:val="22"/>
                <w:lang w:eastAsia="zh-CN"/>
              </w:rPr>
              <w:t>N/A</w:t>
            </w:r>
          </w:p>
          <w:p w:rsidR="006449B2" w:rsidRPr="007F05C5" w:rsidRDefault="006449B2" w:rsidP="00A164E7">
            <w:pPr>
              <w:jc w:val="center"/>
              <w:rPr>
                <w:sz w:val="22"/>
                <w:szCs w:val="22"/>
              </w:rPr>
            </w:pPr>
          </w:p>
        </w:tc>
      </w:tr>
      <w:tr w:rsidR="006449B2" w:rsidRPr="007F05C5" w:rsidTr="00B54D82">
        <w:tc>
          <w:tcPr>
            <w:tcW w:w="709" w:type="dxa"/>
            <w:shd w:val="clear" w:color="auto" w:fill="D9D9D9" w:themeFill="background1" w:themeFillShade="D9"/>
          </w:tcPr>
          <w:p w:rsidR="006449B2" w:rsidRPr="001C2A0A" w:rsidRDefault="006449B2" w:rsidP="00A164E7">
            <w:pPr>
              <w:rPr>
                <w:sz w:val="22"/>
                <w:szCs w:val="22"/>
              </w:rPr>
            </w:pPr>
          </w:p>
        </w:tc>
        <w:tc>
          <w:tcPr>
            <w:tcW w:w="8931" w:type="dxa"/>
            <w:shd w:val="clear" w:color="auto" w:fill="D9D9D9" w:themeFill="background1" w:themeFillShade="D9"/>
          </w:tcPr>
          <w:p w:rsidR="006449B2" w:rsidRPr="001C2A0A" w:rsidRDefault="006449B2" w:rsidP="00A164E7">
            <w:pPr>
              <w:rPr>
                <w:rFonts w:eastAsia="Calibri" w:cs="Times New Roman"/>
                <w:b/>
                <w:sz w:val="22"/>
                <w:szCs w:val="22"/>
              </w:rPr>
            </w:pPr>
            <w:r w:rsidRPr="001C2A0A">
              <w:rPr>
                <w:rFonts w:eastAsia="Calibri" w:cs="Times New Roman"/>
                <w:b/>
                <w:sz w:val="22"/>
                <w:szCs w:val="22"/>
              </w:rPr>
              <w:t>Equality relevance</w:t>
            </w:r>
          </w:p>
        </w:tc>
        <w:tc>
          <w:tcPr>
            <w:tcW w:w="567" w:type="dxa"/>
            <w:shd w:val="clear" w:color="auto" w:fill="D9D9D9" w:themeFill="background1" w:themeFillShade="D9"/>
          </w:tcPr>
          <w:p w:rsidR="006449B2" w:rsidRPr="001C2A0A" w:rsidRDefault="006449B2" w:rsidP="00A164E7">
            <w:pPr>
              <w:jc w:val="center"/>
              <w:rPr>
                <w:sz w:val="22"/>
                <w:szCs w:val="22"/>
              </w:rPr>
            </w:pPr>
          </w:p>
        </w:tc>
        <w:tc>
          <w:tcPr>
            <w:tcW w:w="709" w:type="dxa"/>
            <w:shd w:val="clear" w:color="auto" w:fill="D9D9D9" w:themeFill="background1" w:themeFillShade="D9"/>
          </w:tcPr>
          <w:p w:rsidR="006449B2" w:rsidRPr="001C2A0A" w:rsidRDefault="006449B2" w:rsidP="00A164E7">
            <w:pPr>
              <w:jc w:val="center"/>
              <w:rPr>
                <w:sz w:val="22"/>
                <w:szCs w:val="22"/>
              </w:rPr>
            </w:pPr>
          </w:p>
        </w:tc>
        <w:tc>
          <w:tcPr>
            <w:tcW w:w="567" w:type="dxa"/>
            <w:shd w:val="clear" w:color="auto" w:fill="D9D9D9" w:themeFill="background1" w:themeFillShade="D9"/>
          </w:tcPr>
          <w:p w:rsidR="006449B2" w:rsidRPr="001C2A0A" w:rsidRDefault="006449B2" w:rsidP="00A164E7">
            <w:pPr>
              <w:jc w:val="center"/>
              <w:rPr>
                <w:sz w:val="22"/>
                <w:szCs w:val="22"/>
              </w:rPr>
            </w:pPr>
          </w:p>
        </w:tc>
        <w:tc>
          <w:tcPr>
            <w:tcW w:w="850" w:type="dxa"/>
            <w:shd w:val="clear" w:color="auto" w:fill="D9D9D9" w:themeFill="background1" w:themeFillShade="D9"/>
          </w:tcPr>
          <w:p w:rsidR="006449B2" w:rsidRPr="001C2A0A" w:rsidRDefault="006449B2" w:rsidP="00A164E7">
            <w:pPr>
              <w:jc w:val="center"/>
              <w:rPr>
                <w:sz w:val="22"/>
                <w:szCs w:val="22"/>
              </w:rPr>
            </w:pPr>
          </w:p>
        </w:tc>
        <w:tc>
          <w:tcPr>
            <w:tcW w:w="709" w:type="dxa"/>
            <w:shd w:val="clear" w:color="auto" w:fill="D9D9D9" w:themeFill="background1" w:themeFillShade="D9"/>
          </w:tcPr>
          <w:p w:rsidR="006449B2" w:rsidRPr="001C2A0A" w:rsidRDefault="006449B2" w:rsidP="00A164E7">
            <w:pPr>
              <w:jc w:val="center"/>
              <w:rPr>
                <w:sz w:val="22"/>
                <w:szCs w:val="22"/>
              </w:rPr>
            </w:pPr>
          </w:p>
        </w:tc>
        <w:tc>
          <w:tcPr>
            <w:tcW w:w="567" w:type="dxa"/>
            <w:shd w:val="clear" w:color="auto" w:fill="D9D9D9" w:themeFill="background1" w:themeFillShade="D9"/>
          </w:tcPr>
          <w:p w:rsidR="006449B2" w:rsidRPr="001C2A0A" w:rsidRDefault="006449B2" w:rsidP="00A164E7">
            <w:pPr>
              <w:jc w:val="center"/>
              <w:rPr>
                <w:sz w:val="22"/>
                <w:szCs w:val="22"/>
              </w:rPr>
            </w:pPr>
          </w:p>
        </w:tc>
        <w:tc>
          <w:tcPr>
            <w:tcW w:w="709" w:type="dxa"/>
            <w:shd w:val="clear" w:color="auto" w:fill="D9D9D9" w:themeFill="background1" w:themeFillShade="D9"/>
          </w:tcPr>
          <w:p w:rsidR="006449B2" w:rsidRPr="001C2A0A" w:rsidRDefault="006449B2" w:rsidP="00A164E7">
            <w:pPr>
              <w:jc w:val="center"/>
              <w:rPr>
                <w:sz w:val="22"/>
                <w:szCs w:val="22"/>
              </w:rPr>
            </w:pPr>
          </w:p>
        </w:tc>
        <w:tc>
          <w:tcPr>
            <w:tcW w:w="708" w:type="dxa"/>
            <w:shd w:val="clear" w:color="auto" w:fill="D9D9D9" w:themeFill="background1" w:themeFillShade="D9"/>
          </w:tcPr>
          <w:p w:rsidR="006449B2" w:rsidRPr="001C2A0A" w:rsidRDefault="006449B2" w:rsidP="00A164E7">
            <w:pPr>
              <w:jc w:val="center"/>
              <w:rPr>
                <w:sz w:val="22"/>
                <w:szCs w:val="22"/>
              </w:rPr>
            </w:pPr>
          </w:p>
        </w:tc>
        <w:tc>
          <w:tcPr>
            <w:tcW w:w="851" w:type="dxa"/>
            <w:shd w:val="clear" w:color="auto" w:fill="D9D9D9" w:themeFill="background1" w:themeFillShade="D9"/>
          </w:tcPr>
          <w:p w:rsidR="006449B2" w:rsidRPr="001C2A0A" w:rsidRDefault="006449B2" w:rsidP="00A164E7">
            <w:pPr>
              <w:jc w:val="center"/>
              <w:rPr>
                <w:rFonts w:eastAsia="SimSun" w:cs="Arial"/>
                <w:b/>
                <w:sz w:val="22"/>
                <w:szCs w:val="22"/>
                <w:lang w:eastAsia="zh-CN"/>
              </w:rPr>
            </w:pPr>
          </w:p>
        </w:tc>
      </w:tr>
      <w:tr w:rsidR="006449B2" w:rsidRPr="007F05C5" w:rsidTr="00B54D82">
        <w:trPr>
          <w:cantSplit/>
          <w:trHeight w:val="1765"/>
        </w:trPr>
        <w:tc>
          <w:tcPr>
            <w:tcW w:w="709" w:type="dxa"/>
            <w:shd w:val="clear" w:color="auto" w:fill="D9D9D9" w:themeFill="background1" w:themeFillShade="D9"/>
          </w:tcPr>
          <w:p w:rsidR="006449B2" w:rsidRPr="001C2A0A" w:rsidRDefault="006449B2" w:rsidP="00A164E7">
            <w:pPr>
              <w:rPr>
                <w:sz w:val="22"/>
                <w:szCs w:val="22"/>
              </w:rPr>
            </w:pPr>
          </w:p>
        </w:tc>
        <w:tc>
          <w:tcPr>
            <w:tcW w:w="8931" w:type="dxa"/>
            <w:shd w:val="clear" w:color="auto" w:fill="D9D9D9" w:themeFill="background1" w:themeFillShade="D9"/>
          </w:tcPr>
          <w:p w:rsidR="006449B2" w:rsidRPr="001C2A0A" w:rsidRDefault="006449B2" w:rsidP="00A164E7">
            <w:pPr>
              <w:rPr>
                <w:rFonts w:eastAsia="SimSun" w:cs="Arial"/>
                <w:b/>
                <w:sz w:val="22"/>
                <w:szCs w:val="22"/>
                <w:lang w:eastAsia="zh-CN"/>
              </w:rPr>
            </w:pPr>
            <w:r w:rsidRPr="001C2A0A">
              <w:rPr>
                <w:rFonts w:eastAsia="SimSun" w:cs="Arial"/>
                <w:b/>
                <w:sz w:val="22"/>
                <w:szCs w:val="22"/>
                <w:lang w:eastAsia="zh-CN"/>
              </w:rPr>
              <w:t>When undertaking an assessment policy owners are required to complete the equality relevance table by indicating whether or not the policy has a: positive impact (PI), negative impact (NI) or no impact (N). Any decision taken when completing this table will need to take into consideration available equality information.</w:t>
            </w:r>
          </w:p>
        </w:tc>
        <w:tc>
          <w:tcPr>
            <w:tcW w:w="567" w:type="dxa"/>
            <w:shd w:val="clear" w:color="auto" w:fill="D9D9D9" w:themeFill="background1" w:themeFillShade="D9"/>
            <w:textDirection w:val="btLr"/>
            <w:vAlign w:val="center"/>
          </w:tcPr>
          <w:p w:rsidR="006449B2" w:rsidRPr="001C2A0A" w:rsidRDefault="006449B2" w:rsidP="00A164E7">
            <w:pPr>
              <w:ind w:left="113" w:right="113"/>
              <w:jc w:val="center"/>
              <w:rPr>
                <w:sz w:val="22"/>
                <w:szCs w:val="22"/>
              </w:rPr>
            </w:pPr>
            <w:r w:rsidRPr="001C2A0A">
              <w:rPr>
                <w:rFonts w:eastAsia="SimSun" w:cs="Arial"/>
                <w:b/>
                <w:sz w:val="22"/>
                <w:szCs w:val="22"/>
                <w:lang w:eastAsia="zh-CN"/>
              </w:rPr>
              <w:t>Age</w:t>
            </w:r>
          </w:p>
        </w:tc>
        <w:tc>
          <w:tcPr>
            <w:tcW w:w="709" w:type="dxa"/>
            <w:shd w:val="clear" w:color="auto" w:fill="D9D9D9" w:themeFill="background1" w:themeFillShade="D9"/>
            <w:textDirection w:val="btLr"/>
            <w:vAlign w:val="center"/>
          </w:tcPr>
          <w:p w:rsidR="006449B2" w:rsidRPr="001C2A0A" w:rsidRDefault="006449B2" w:rsidP="00A164E7">
            <w:pPr>
              <w:ind w:left="113" w:right="113"/>
              <w:jc w:val="center"/>
              <w:rPr>
                <w:sz w:val="22"/>
                <w:szCs w:val="22"/>
              </w:rPr>
            </w:pPr>
            <w:r w:rsidRPr="001C2A0A">
              <w:rPr>
                <w:rFonts w:eastAsia="SimSun" w:cs="Arial"/>
                <w:b/>
                <w:sz w:val="22"/>
                <w:szCs w:val="22"/>
                <w:lang w:eastAsia="zh-CN"/>
              </w:rPr>
              <w:t>Disability</w:t>
            </w:r>
          </w:p>
        </w:tc>
        <w:tc>
          <w:tcPr>
            <w:tcW w:w="567" w:type="dxa"/>
            <w:shd w:val="clear" w:color="auto" w:fill="D9D9D9" w:themeFill="background1" w:themeFillShade="D9"/>
            <w:textDirection w:val="btLr"/>
            <w:vAlign w:val="center"/>
          </w:tcPr>
          <w:p w:rsidR="006449B2" w:rsidRPr="001C2A0A" w:rsidRDefault="006449B2" w:rsidP="00A164E7">
            <w:pPr>
              <w:ind w:left="113" w:right="113"/>
              <w:jc w:val="center"/>
              <w:rPr>
                <w:sz w:val="22"/>
                <w:szCs w:val="22"/>
              </w:rPr>
            </w:pPr>
            <w:r w:rsidRPr="001C2A0A">
              <w:rPr>
                <w:rFonts w:eastAsia="SimSun" w:cs="Arial"/>
                <w:b/>
                <w:sz w:val="22"/>
                <w:szCs w:val="22"/>
                <w:lang w:eastAsia="zh-CN"/>
              </w:rPr>
              <w:t>Gender</w:t>
            </w:r>
          </w:p>
        </w:tc>
        <w:tc>
          <w:tcPr>
            <w:tcW w:w="850" w:type="dxa"/>
            <w:shd w:val="clear" w:color="auto" w:fill="D9D9D9" w:themeFill="background1" w:themeFillShade="D9"/>
            <w:textDirection w:val="btLr"/>
            <w:vAlign w:val="center"/>
          </w:tcPr>
          <w:p w:rsidR="006449B2" w:rsidRPr="001C2A0A" w:rsidRDefault="006449B2" w:rsidP="00A164E7">
            <w:pPr>
              <w:ind w:left="113" w:right="113"/>
              <w:jc w:val="center"/>
              <w:rPr>
                <w:sz w:val="22"/>
                <w:szCs w:val="22"/>
              </w:rPr>
            </w:pPr>
            <w:r w:rsidRPr="001C2A0A">
              <w:rPr>
                <w:rFonts w:eastAsia="SimSun" w:cs="Arial"/>
                <w:b/>
                <w:sz w:val="22"/>
                <w:szCs w:val="22"/>
                <w:lang w:eastAsia="zh-CN"/>
              </w:rPr>
              <w:t>Gender Reassignment</w:t>
            </w:r>
          </w:p>
        </w:tc>
        <w:tc>
          <w:tcPr>
            <w:tcW w:w="709" w:type="dxa"/>
            <w:shd w:val="clear" w:color="auto" w:fill="D9D9D9" w:themeFill="background1" w:themeFillShade="D9"/>
            <w:textDirection w:val="btLr"/>
            <w:vAlign w:val="center"/>
          </w:tcPr>
          <w:p w:rsidR="006449B2" w:rsidRPr="001C2A0A" w:rsidRDefault="006449B2" w:rsidP="00A164E7">
            <w:pPr>
              <w:ind w:left="113" w:right="113"/>
              <w:jc w:val="center"/>
              <w:rPr>
                <w:rFonts w:eastAsia="SimSun" w:cs="Arial"/>
                <w:b/>
                <w:sz w:val="22"/>
                <w:szCs w:val="22"/>
                <w:lang w:eastAsia="zh-CN"/>
              </w:rPr>
            </w:pPr>
            <w:r w:rsidRPr="001C2A0A">
              <w:rPr>
                <w:rFonts w:eastAsia="SimSun" w:cs="Arial"/>
                <w:b/>
                <w:sz w:val="22"/>
                <w:szCs w:val="22"/>
                <w:lang w:eastAsia="zh-CN"/>
              </w:rPr>
              <w:t>Pregnancy/</w:t>
            </w:r>
          </w:p>
          <w:p w:rsidR="006449B2" w:rsidRPr="001C2A0A" w:rsidRDefault="006449B2" w:rsidP="00A164E7">
            <w:pPr>
              <w:ind w:left="113" w:right="113"/>
              <w:jc w:val="center"/>
              <w:rPr>
                <w:sz w:val="22"/>
                <w:szCs w:val="22"/>
              </w:rPr>
            </w:pPr>
            <w:r w:rsidRPr="001C2A0A">
              <w:rPr>
                <w:rFonts w:eastAsia="SimSun" w:cs="Arial"/>
                <w:b/>
                <w:sz w:val="22"/>
                <w:szCs w:val="22"/>
                <w:lang w:eastAsia="zh-CN"/>
              </w:rPr>
              <w:t>Maternity</w:t>
            </w:r>
          </w:p>
        </w:tc>
        <w:tc>
          <w:tcPr>
            <w:tcW w:w="567" w:type="dxa"/>
            <w:shd w:val="clear" w:color="auto" w:fill="D9D9D9" w:themeFill="background1" w:themeFillShade="D9"/>
            <w:textDirection w:val="btLr"/>
            <w:vAlign w:val="center"/>
          </w:tcPr>
          <w:p w:rsidR="006449B2" w:rsidRPr="001C2A0A" w:rsidRDefault="006449B2" w:rsidP="00A164E7">
            <w:pPr>
              <w:ind w:left="113" w:right="113"/>
              <w:jc w:val="center"/>
              <w:rPr>
                <w:sz w:val="22"/>
                <w:szCs w:val="22"/>
              </w:rPr>
            </w:pPr>
            <w:r w:rsidRPr="001C2A0A">
              <w:rPr>
                <w:rFonts w:eastAsia="SimSun" w:cs="Arial"/>
                <w:b/>
                <w:sz w:val="22"/>
                <w:szCs w:val="22"/>
                <w:lang w:eastAsia="zh-CN"/>
              </w:rPr>
              <w:t>Race</w:t>
            </w:r>
          </w:p>
        </w:tc>
        <w:tc>
          <w:tcPr>
            <w:tcW w:w="709" w:type="dxa"/>
            <w:shd w:val="clear" w:color="auto" w:fill="D9D9D9" w:themeFill="background1" w:themeFillShade="D9"/>
            <w:textDirection w:val="btLr"/>
            <w:vAlign w:val="center"/>
          </w:tcPr>
          <w:p w:rsidR="006449B2" w:rsidRPr="001C2A0A" w:rsidRDefault="006449B2" w:rsidP="00A164E7">
            <w:pPr>
              <w:ind w:left="113" w:right="113"/>
              <w:jc w:val="center"/>
              <w:rPr>
                <w:sz w:val="22"/>
                <w:szCs w:val="22"/>
              </w:rPr>
            </w:pPr>
            <w:r w:rsidRPr="001C2A0A">
              <w:rPr>
                <w:rFonts w:eastAsia="SimSun" w:cs="Arial"/>
                <w:b/>
                <w:sz w:val="22"/>
                <w:szCs w:val="22"/>
                <w:lang w:eastAsia="zh-CN"/>
              </w:rPr>
              <w:t>Religion or belief</w:t>
            </w:r>
          </w:p>
        </w:tc>
        <w:tc>
          <w:tcPr>
            <w:tcW w:w="708" w:type="dxa"/>
            <w:shd w:val="clear" w:color="auto" w:fill="D9D9D9" w:themeFill="background1" w:themeFillShade="D9"/>
            <w:textDirection w:val="btLr"/>
            <w:vAlign w:val="center"/>
          </w:tcPr>
          <w:p w:rsidR="006449B2" w:rsidRPr="001C2A0A" w:rsidRDefault="006449B2" w:rsidP="00A164E7">
            <w:pPr>
              <w:ind w:left="113" w:right="113"/>
              <w:jc w:val="center"/>
              <w:rPr>
                <w:rFonts w:eastAsia="SimSun" w:cs="Arial"/>
                <w:b/>
                <w:sz w:val="22"/>
                <w:szCs w:val="22"/>
                <w:lang w:eastAsia="zh-CN"/>
              </w:rPr>
            </w:pPr>
            <w:r w:rsidRPr="001C2A0A">
              <w:rPr>
                <w:rFonts w:eastAsia="SimSun" w:cs="Arial"/>
                <w:b/>
                <w:sz w:val="22"/>
                <w:szCs w:val="22"/>
                <w:lang w:eastAsia="zh-CN"/>
              </w:rPr>
              <w:t>Sexual</w:t>
            </w:r>
          </w:p>
          <w:p w:rsidR="006449B2" w:rsidRPr="001C2A0A" w:rsidRDefault="006449B2" w:rsidP="00A164E7">
            <w:pPr>
              <w:ind w:left="113" w:right="113"/>
              <w:jc w:val="center"/>
              <w:rPr>
                <w:sz w:val="22"/>
                <w:szCs w:val="22"/>
              </w:rPr>
            </w:pPr>
            <w:r w:rsidRPr="001C2A0A">
              <w:rPr>
                <w:rFonts w:eastAsia="SimSun" w:cs="Arial"/>
                <w:b/>
                <w:sz w:val="22"/>
                <w:szCs w:val="22"/>
                <w:lang w:eastAsia="zh-CN"/>
              </w:rPr>
              <w:t>Orientation</w:t>
            </w:r>
          </w:p>
        </w:tc>
        <w:tc>
          <w:tcPr>
            <w:tcW w:w="851" w:type="dxa"/>
            <w:shd w:val="clear" w:color="auto" w:fill="D9D9D9" w:themeFill="background1" w:themeFillShade="D9"/>
            <w:textDirection w:val="btLr"/>
            <w:vAlign w:val="center"/>
          </w:tcPr>
          <w:p w:rsidR="006449B2" w:rsidRPr="001C2A0A" w:rsidRDefault="006449B2" w:rsidP="00A164E7">
            <w:pPr>
              <w:ind w:left="113" w:right="113"/>
              <w:jc w:val="center"/>
              <w:rPr>
                <w:rFonts w:eastAsia="SimSun" w:cs="Arial"/>
                <w:b/>
                <w:sz w:val="22"/>
                <w:szCs w:val="22"/>
                <w:lang w:eastAsia="zh-CN"/>
              </w:rPr>
            </w:pPr>
            <w:r w:rsidRPr="001C2A0A">
              <w:rPr>
                <w:rFonts w:eastAsia="SimSun" w:cs="Arial"/>
                <w:b/>
                <w:sz w:val="22"/>
                <w:szCs w:val="22"/>
                <w:lang w:eastAsia="zh-CN"/>
              </w:rPr>
              <w:t>Marriage/civil</w:t>
            </w:r>
          </w:p>
          <w:p w:rsidR="006449B2" w:rsidRPr="001C2A0A" w:rsidRDefault="006449B2" w:rsidP="00A164E7">
            <w:pPr>
              <w:ind w:left="113" w:right="113"/>
              <w:jc w:val="center"/>
              <w:rPr>
                <w:rFonts w:eastAsia="SimSun" w:cs="Arial"/>
                <w:b/>
                <w:sz w:val="22"/>
                <w:szCs w:val="22"/>
                <w:lang w:eastAsia="zh-CN"/>
              </w:rPr>
            </w:pPr>
            <w:r w:rsidRPr="001C2A0A">
              <w:rPr>
                <w:rFonts w:eastAsia="SimSun" w:cs="Arial"/>
                <w:b/>
                <w:sz w:val="22"/>
                <w:szCs w:val="22"/>
                <w:lang w:eastAsia="zh-CN"/>
              </w:rPr>
              <w:t>partnership</w:t>
            </w:r>
          </w:p>
        </w:tc>
      </w:tr>
      <w:tr w:rsidR="00AA074C" w:rsidRPr="007F05C5" w:rsidTr="00B54D82">
        <w:trPr>
          <w:trHeight w:val="557"/>
        </w:trPr>
        <w:tc>
          <w:tcPr>
            <w:tcW w:w="709" w:type="dxa"/>
            <w:shd w:val="clear" w:color="auto" w:fill="FFFFFF" w:themeFill="background1"/>
          </w:tcPr>
          <w:p w:rsidR="00AA074C" w:rsidRPr="007F05C5" w:rsidRDefault="00AA074C" w:rsidP="00A164E7">
            <w:pPr>
              <w:rPr>
                <w:sz w:val="22"/>
                <w:szCs w:val="22"/>
              </w:rPr>
            </w:pPr>
            <w:r w:rsidRPr="007F05C5">
              <w:rPr>
                <w:sz w:val="22"/>
                <w:szCs w:val="22"/>
              </w:rPr>
              <w:t>3.3</w:t>
            </w:r>
          </w:p>
        </w:tc>
        <w:tc>
          <w:tcPr>
            <w:tcW w:w="8931" w:type="dxa"/>
            <w:shd w:val="clear" w:color="auto" w:fill="FFFFFF" w:themeFill="background1"/>
          </w:tcPr>
          <w:p w:rsidR="00AA074C" w:rsidRPr="00A10800" w:rsidRDefault="00AA074C" w:rsidP="00A164E7">
            <w:pPr>
              <w:rPr>
                <w:rFonts w:eastAsia="Calibri" w:cs="Times New Roman"/>
                <w:sz w:val="22"/>
                <w:szCs w:val="22"/>
              </w:rPr>
            </w:pPr>
            <w:r w:rsidRPr="00A10800">
              <w:rPr>
                <w:rFonts w:eastAsia="Calibri" w:cs="Times New Roman"/>
                <w:sz w:val="22"/>
                <w:szCs w:val="22"/>
              </w:rPr>
              <w:t>In advancing equality of opportunity, does the BU policy have a positive, negative or no impact in terms of taking steps to meet the needs of people with certain protected characteristics whe</w:t>
            </w:r>
            <w:r>
              <w:rPr>
                <w:rFonts w:eastAsia="Calibri" w:cs="Times New Roman"/>
                <w:sz w:val="22"/>
                <w:szCs w:val="22"/>
              </w:rPr>
              <w:t>re these are different from the</w:t>
            </w:r>
            <w:r w:rsidRPr="00A10800">
              <w:rPr>
                <w:rFonts w:eastAsia="Calibri" w:cs="Times New Roman"/>
                <w:sz w:val="22"/>
                <w:szCs w:val="22"/>
              </w:rPr>
              <w:t xml:space="preserve"> needs of other people at the University? </w:t>
            </w:r>
          </w:p>
        </w:tc>
        <w:tc>
          <w:tcPr>
            <w:tcW w:w="567" w:type="dxa"/>
            <w:shd w:val="clear" w:color="auto" w:fill="FFFFFF" w:themeFill="background1"/>
          </w:tcPr>
          <w:p w:rsidR="00AA074C" w:rsidRPr="007F05C5" w:rsidRDefault="00AA074C" w:rsidP="00C813A9">
            <w:pPr>
              <w:jc w:val="center"/>
              <w:rPr>
                <w:sz w:val="22"/>
                <w:szCs w:val="22"/>
              </w:rPr>
            </w:pPr>
            <w:r>
              <w:rPr>
                <w:sz w:val="22"/>
                <w:szCs w:val="22"/>
              </w:rPr>
              <w:t>NO</w:t>
            </w:r>
          </w:p>
        </w:tc>
        <w:tc>
          <w:tcPr>
            <w:tcW w:w="709" w:type="dxa"/>
            <w:shd w:val="clear" w:color="auto" w:fill="FFFFFF" w:themeFill="background1"/>
          </w:tcPr>
          <w:p w:rsidR="00AA074C" w:rsidRDefault="00AA074C" w:rsidP="00C813A9">
            <w:pPr>
              <w:jc w:val="center"/>
              <w:rPr>
                <w:sz w:val="22"/>
                <w:szCs w:val="22"/>
              </w:rPr>
            </w:pPr>
            <w:r>
              <w:rPr>
                <w:sz w:val="22"/>
                <w:szCs w:val="22"/>
              </w:rPr>
              <w:t>PI</w:t>
            </w:r>
          </w:p>
          <w:p w:rsidR="00AA074C" w:rsidRPr="007F05C5" w:rsidRDefault="00AA074C" w:rsidP="00C813A9">
            <w:pPr>
              <w:jc w:val="center"/>
              <w:rPr>
                <w:sz w:val="22"/>
                <w:szCs w:val="22"/>
              </w:rPr>
            </w:pPr>
          </w:p>
        </w:tc>
        <w:tc>
          <w:tcPr>
            <w:tcW w:w="567" w:type="dxa"/>
            <w:shd w:val="clear" w:color="auto" w:fill="FFFFFF" w:themeFill="background1"/>
          </w:tcPr>
          <w:p w:rsidR="00AA074C" w:rsidRPr="007F05C5" w:rsidRDefault="00AA074C" w:rsidP="00C813A9">
            <w:pPr>
              <w:jc w:val="center"/>
              <w:rPr>
                <w:sz w:val="22"/>
                <w:szCs w:val="22"/>
              </w:rPr>
            </w:pPr>
            <w:r>
              <w:rPr>
                <w:sz w:val="22"/>
                <w:szCs w:val="22"/>
              </w:rPr>
              <w:t>NO</w:t>
            </w:r>
          </w:p>
        </w:tc>
        <w:tc>
          <w:tcPr>
            <w:tcW w:w="850" w:type="dxa"/>
            <w:shd w:val="clear" w:color="auto" w:fill="FFFFFF" w:themeFill="background1"/>
          </w:tcPr>
          <w:p w:rsidR="00AA074C" w:rsidRPr="007F05C5" w:rsidRDefault="00AA074C" w:rsidP="00C813A9">
            <w:pPr>
              <w:jc w:val="center"/>
              <w:rPr>
                <w:sz w:val="22"/>
                <w:szCs w:val="22"/>
              </w:rPr>
            </w:pPr>
            <w:r>
              <w:rPr>
                <w:sz w:val="22"/>
                <w:szCs w:val="22"/>
              </w:rPr>
              <w:t>PI</w:t>
            </w:r>
          </w:p>
        </w:tc>
        <w:tc>
          <w:tcPr>
            <w:tcW w:w="709" w:type="dxa"/>
            <w:shd w:val="clear" w:color="auto" w:fill="FFFFFF" w:themeFill="background1"/>
          </w:tcPr>
          <w:p w:rsidR="00AA074C" w:rsidRPr="007F05C5" w:rsidRDefault="00AA074C" w:rsidP="00C813A9">
            <w:pPr>
              <w:jc w:val="center"/>
              <w:rPr>
                <w:sz w:val="22"/>
                <w:szCs w:val="22"/>
              </w:rPr>
            </w:pPr>
            <w:r>
              <w:rPr>
                <w:sz w:val="22"/>
                <w:szCs w:val="22"/>
              </w:rPr>
              <w:t>NO</w:t>
            </w:r>
          </w:p>
        </w:tc>
        <w:tc>
          <w:tcPr>
            <w:tcW w:w="567" w:type="dxa"/>
            <w:shd w:val="clear" w:color="auto" w:fill="FFFFFF" w:themeFill="background1"/>
          </w:tcPr>
          <w:p w:rsidR="00AA074C" w:rsidRPr="007F05C5" w:rsidRDefault="00AA074C" w:rsidP="00C813A9">
            <w:pPr>
              <w:jc w:val="center"/>
              <w:rPr>
                <w:sz w:val="22"/>
                <w:szCs w:val="22"/>
              </w:rPr>
            </w:pPr>
            <w:r>
              <w:rPr>
                <w:sz w:val="22"/>
                <w:szCs w:val="22"/>
              </w:rPr>
              <w:t>NO</w:t>
            </w:r>
          </w:p>
        </w:tc>
        <w:tc>
          <w:tcPr>
            <w:tcW w:w="709" w:type="dxa"/>
            <w:shd w:val="clear" w:color="auto" w:fill="FFFFFF" w:themeFill="background1"/>
          </w:tcPr>
          <w:p w:rsidR="00AA074C" w:rsidRPr="007F05C5" w:rsidRDefault="00AA074C" w:rsidP="00C813A9">
            <w:pPr>
              <w:jc w:val="center"/>
              <w:rPr>
                <w:sz w:val="22"/>
                <w:szCs w:val="22"/>
              </w:rPr>
            </w:pPr>
            <w:r>
              <w:rPr>
                <w:sz w:val="22"/>
                <w:szCs w:val="22"/>
              </w:rPr>
              <w:t>NO</w:t>
            </w:r>
          </w:p>
        </w:tc>
        <w:tc>
          <w:tcPr>
            <w:tcW w:w="708" w:type="dxa"/>
            <w:shd w:val="clear" w:color="auto" w:fill="FFFFFF" w:themeFill="background1"/>
          </w:tcPr>
          <w:p w:rsidR="00AA074C" w:rsidRPr="007F05C5" w:rsidRDefault="00AA074C" w:rsidP="00C813A9">
            <w:pPr>
              <w:jc w:val="center"/>
              <w:rPr>
                <w:sz w:val="22"/>
                <w:szCs w:val="22"/>
              </w:rPr>
            </w:pPr>
            <w:r>
              <w:rPr>
                <w:sz w:val="22"/>
                <w:szCs w:val="22"/>
              </w:rPr>
              <w:t>NO</w:t>
            </w:r>
          </w:p>
        </w:tc>
        <w:tc>
          <w:tcPr>
            <w:tcW w:w="851" w:type="dxa"/>
            <w:shd w:val="clear" w:color="auto" w:fill="D9D9D9" w:themeFill="background1" w:themeFillShade="D9"/>
          </w:tcPr>
          <w:p w:rsidR="00AA074C" w:rsidRDefault="00AA074C" w:rsidP="00A164E7">
            <w:pPr>
              <w:jc w:val="center"/>
              <w:rPr>
                <w:rFonts w:eastAsia="SimSun" w:cs="Arial"/>
                <w:b/>
                <w:sz w:val="22"/>
                <w:szCs w:val="22"/>
                <w:lang w:eastAsia="zh-CN"/>
              </w:rPr>
            </w:pPr>
          </w:p>
          <w:p w:rsidR="00AA074C" w:rsidRPr="007F05C5" w:rsidRDefault="00AA074C" w:rsidP="00A164E7">
            <w:pPr>
              <w:jc w:val="center"/>
              <w:rPr>
                <w:rFonts w:eastAsia="SimSun" w:cs="Arial"/>
                <w:b/>
                <w:sz w:val="22"/>
                <w:szCs w:val="22"/>
                <w:lang w:eastAsia="zh-CN"/>
              </w:rPr>
            </w:pPr>
            <w:r w:rsidRPr="007F05C5">
              <w:rPr>
                <w:rFonts w:eastAsia="SimSun" w:cs="Arial"/>
                <w:b/>
                <w:sz w:val="22"/>
                <w:szCs w:val="22"/>
                <w:lang w:eastAsia="zh-CN"/>
              </w:rPr>
              <w:t>N/A</w:t>
            </w:r>
          </w:p>
        </w:tc>
      </w:tr>
      <w:tr w:rsidR="006449B2" w:rsidRPr="007F05C5" w:rsidTr="00B54D82">
        <w:trPr>
          <w:trHeight w:val="557"/>
        </w:trPr>
        <w:tc>
          <w:tcPr>
            <w:tcW w:w="709" w:type="dxa"/>
            <w:shd w:val="clear" w:color="auto" w:fill="FFFFFF" w:themeFill="background1"/>
          </w:tcPr>
          <w:p w:rsidR="006449B2" w:rsidRPr="007F05C5" w:rsidRDefault="006449B2" w:rsidP="00A164E7">
            <w:pPr>
              <w:rPr>
                <w:sz w:val="22"/>
                <w:szCs w:val="22"/>
              </w:rPr>
            </w:pPr>
            <w:r>
              <w:rPr>
                <w:sz w:val="22"/>
                <w:szCs w:val="22"/>
              </w:rPr>
              <w:t>3.4</w:t>
            </w:r>
          </w:p>
        </w:tc>
        <w:tc>
          <w:tcPr>
            <w:tcW w:w="8931" w:type="dxa"/>
            <w:shd w:val="clear" w:color="auto" w:fill="FFFFFF" w:themeFill="background1"/>
          </w:tcPr>
          <w:p w:rsidR="006449B2" w:rsidRPr="00A10800" w:rsidRDefault="006449B2" w:rsidP="00A164E7">
            <w:pPr>
              <w:rPr>
                <w:rFonts w:eastAsia="Calibri" w:cs="Times New Roman"/>
                <w:sz w:val="22"/>
                <w:szCs w:val="22"/>
              </w:rPr>
            </w:pPr>
            <w:r w:rsidRPr="00A10800">
              <w:rPr>
                <w:rFonts w:eastAsia="Calibri" w:cs="Times New Roman"/>
                <w:sz w:val="22"/>
                <w:szCs w:val="22"/>
              </w:rPr>
              <w:t xml:space="preserve">In advancing equality of opportunity, does the BU policy have a positive, negative or no impact in terms of encouraging people with certain protected characteristics to participate in all activities at the University where their participation is disproportionately low?  </w:t>
            </w:r>
          </w:p>
        </w:tc>
        <w:tc>
          <w:tcPr>
            <w:tcW w:w="567" w:type="dxa"/>
            <w:shd w:val="clear" w:color="auto" w:fill="FFFFFF" w:themeFill="background1"/>
          </w:tcPr>
          <w:p w:rsidR="006449B2" w:rsidRPr="007F05C5" w:rsidRDefault="00AA074C" w:rsidP="00A164E7">
            <w:pPr>
              <w:jc w:val="center"/>
              <w:rPr>
                <w:sz w:val="22"/>
                <w:szCs w:val="22"/>
              </w:rPr>
            </w:pPr>
            <w:r>
              <w:rPr>
                <w:sz w:val="22"/>
                <w:szCs w:val="22"/>
              </w:rPr>
              <w:t>NO</w:t>
            </w:r>
          </w:p>
        </w:tc>
        <w:tc>
          <w:tcPr>
            <w:tcW w:w="709" w:type="dxa"/>
            <w:shd w:val="clear" w:color="auto" w:fill="FFFFFF" w:themeFill="background1"/>
          </w:tcPr>
          <w:p w:rsidR="006449B2" w:rsidRPr="007F05C5" w:rsidRDefault="00AA074C" w:rsidP="00A164E7">
            <w:pPr>
              <w:jc w:val="center"/>
              <w:rPr>
                <w:sz w:val="22"/>
                <w:szCs w:val="22"/>
              </w:rPr>
            </w:pPr>
            <w:r>
              <w:rPr>
                <w:sz w:val="22"/>
                <w:szCs w:val="22"/>
              </w:rPr>
              <w:t>NO</w:t>
            </w:r>
          </w:p>
        </w:tc>
        <w:tc>
          <w:tcPr>
            <w:tcW w:w="567" w:type="dxa"/>
            <w:shd w:val="clear" w:color="auto" w:fill="FFFFFF" w:themeFill="background1"/>
          </w:tcPr>
          <w:p w:rsidR="006449B2" w:rsidRPr="007F05C5" w:rsidRDefault="00AA074C" w:rsidP="00A164E7">
            <w:pPr>
              <w:jc w:val="center"/>
              <w:rPr>
                <w:sz w:val="22"/>
                <w:szCs w:val="22"/>
              </w:rPr>
            </w:pPr>
            <w:r>
              <w:rPr>
                <w:sz w:val="22"/>
                <w:szCs w:val="22"/>
              </w:rPr>
              <w:t>NO</w:t>
            </w:r>
          </w:p>
        </w:tc>
        <w:tc>
          <w:tcPr>
            <w:tcW w:w="850" w:type="dxa"/>
            <w:shd w:val="clear" w:color="auto" w:fill="FFFFFF" w:themeFill="background1"/>
          </w:tcPr>
          <w:p w:rsidR="006449B2" w:rsidRPr="007F05C5" w:rsidRDefault="00AA074C" w:rsidP="00A164E7">
            <w:pPr>
              <w:jc w:val="center"/>
              <w:rPr>
                <w:sz w:val="22"/>
                <w:szCs w:val="22"/>
              </w:rPr>
            </w:pPr>
            <w:r>
              <w:rPr>
                <w:sz w:val="22"/>
                <w:szCs w:val="22"/>
              </w:rPr>
              <w:t>NO</w:t>
            </w:r>
          </w:p>
        </w:tc>
        <w:tc>
          <w:tcPr>
            <w:tcW w:w="709" w:type="dxa"/>
            <w:shd w:val="clear" w:color="auto" w:fill="FFFFFF" w:themeFill="background1"/>
          </w:tcPr>
          <w:p w:rsidR="006449B2" w:rsidRPr="007F05C5" w:rsidRDefault="00AA074C" w:rsidP="00A164E7">
            <w:pPr>
              <w:jc w:val="center"/>
              <w:rPr>
                <w:sz w:val="22"/>
                <w:szCs w:val="22"/>
              </w:rPr>
            </w:pPr>
            <w:r>
              <w:rPr>
                <w:sz w:val="22"/>
                <w:szCs w:val="22"/>
              </w:rPr>
              <w:t>NO</w:t>
            </w:r>
          </w:p>
        </w:tc>
        <w:tc>
          <w:tcPr>
            <w:tcW w:w="567" w:type="dxa"/>
            <w:shd w:val="clear" w:color="auto" w:fill="FFFFFF" w:themeFill="background1"/>
          </w:tcPr>
          <w:p w:rsidR="006449B2" w:rsidRPr="007F05C5" w:rsidRDefault="00AA074C" w:rsidP="00A164E7">
            <w:pPr>
              <w:jc w:val="center"/>
              <w:rPr>
                <w:sz w:val="22"/>
                <w:szCs w:val="22"/>
              </w:rPr>
            </w:pPr>
            <w:r>
              <w:rPr>
                <w:sz w:val="22"/>
                <w:szCs w:val="22"/>
              </w:rPr>
              <w:t>NO</w:t>
            </w:r>
          </w:p>
        </w:tc>
        <w:tc>
          <w:tcPr>
            <w:tcW w:w="709" w:type="dxa"/>
            <w:shd w:val="clear" w:color="auto" w:fill="FFFFFF" w:themeFill="background1"/>
          </w:tcPr>
          <w:p w:rsidR="006449B2" w:rsidRPr="007F05C5" w:rsidRDefault="00AA074C" w:rsidP="00A164E7">
            <w:pPr>
              <w:jc w:val="center"/>
              <w:rPr>
                <w:sz w:val="22"/>
                <w:szCs w:val="22"/>
              </w:rPr>
            </w:pPr>
            <w:r>
              <w:rPr>
                <w:sz w:val="22"/>
                <w:szCs w:val="22"/>
              </w:rPr>
              <w:t>NO</w:t>
            </w:r>
          </w:p>
        </w:tc>
        <w:tc>
          <w:tcPr>
            <w:tcW w:w="708" w:type="dxa"/>
            <w:shd w:val="clear" w:color="auto" w:fill="FFFFFF" w:themeFill="background1"/>
          </w:tcPr>
          <w:p w:rsidR="006449B2" w:rsidRPr="007F05C5" w:rsidRDefault="00AA074C" w:rsidP="00A164E7">
            <w:pPr>
              <w:jc w:val="center"/>
              <w:rPr>
                <w:sz w:val="22"/>
                <w:szCs w:val="22"/>
              </w:rPr>
            </w:pPr>
            <w:r>
              <w:rPr>
                <w:sz w:val="22"/>
                <w:szCs w:val="22"/>
              </w:rPr>
              <w:t>NO</w:t>
            </w:r>
          </w:p>
        </w:tc>
        <w:tc>
          <w:tcPr>
            <w:tcW w:w="851" w:type="dxa"/>
            <w:shd w:val="clear" w:color="auto" w:fill="D9D9D9" w:themeFill="background1" w:themeFillShade="D9"/>
          </w:tcPr>
          <w:p w:rsidR="006449B2" w:rsidRDefault="006449B2" w:rsidP="00A164E7">
            <w:pPr>
              <w:jc w:val="center"/>
              <w:rPr>
                <w:rFonts w:eastAsia="SimSun" w:cs="Arial"/>
                <w:b/>
                <w:sz w:val="22"/>
                <w:szCs w:val="22"/>
                <w:lang w:eastAsia="zh-CN"/>
              </w:rPr>
            </w:pPr>
          </w:p>
          <w:p w:rsidR="006449B2" w:rsidRPr="007F05C5" w:rsidRDefault="006449B2" w:rsidP="00A164E7">
            <w:pPr>
              <w:jc w:val="center"/>
              <w:rPr>
                <w:rFonts w:eastAsia="SimSun" w:cs="Arial"/>
                <w:b/>
                <w:sz w:val="22"/>
                <w:szCs w:val="22"/>
                <w:lang w:eastAsia="zh-CN"/>
              </w:rPr>
            </w:pPr>
            <w:r>
              <w:rPr>
                <w:rFonts w:eastAsia="SimSun" w:cs="Arial"/>
                <w:b/>
                <w:sz w:val="22"/>
                <w:szCs w:val="22"/>
                <w:lang w:eastAsia="zh-CN"/>
              </w:rPr>
              <w:t>N/A</w:t>
            </w:r>
          </w:p>
        </w:tc>
      </w:tr>
      <w:tr w:rsidR="007E5F4C" w:rsidRPr="007F05C5" w:rsidTr="00B54D82">
        <w:trPr>
          <w:trHeight w:val="397"/>
        </w:trPr>
        <w:tc>
          <w:tcPr>
            <w:tcW w:w="709" w:type="dxa"/>
            <w:shd w:val="clear" w:color="auto" w:fill="FFFFFF" w:themeFill="background1"/>
          </w:tcPr>
          <w:p w:rsidR="007E5F4C" w:rsidRPr="007F05C5" w:rsidRDefault="007E5F4C" w:rsidP="00A164E7">
            <w:pPr>
              <w:rPr>
                <w:sz w:val="22"/>
                <w:szCs w:val="22"/>
              </w:rPr>
            </w:pPr>
            <w:r>
              <w:rPr>
                <w:sz w:val="22"/>
                <w:szCs w:val="22"/>
              </w:rPr>
              <w:t>3.5</w:t>
            </w:r>
          </w:p>
        </w:tc>
        <w:tc>
          <w:tcPr>
            <w:tcW w:w="8931" w:type="dxa"/>
            <w:shd w:val="clear" w:color="auto" w:fill="FFFFFF" w:themeFill="background1"/>
          </w:tcPr>
          <w:p w:rsidR="007E5F4C" w:rsidRPr="00A10800" w:rsidRDefault="007E5F4C" w:rsidP="00A164E7">
            <w:pPr>
              <w:rPr>
                <w:rFonts w:eastAsia="Calibri" w:cs="Times New Roman"/>
                <w:sz w:val="22"/>
                <w:szCs w:val="22"/>
              </w:rPr>
            </w:pPr>
            <w:r w:rsidRPr="00A10800">
              <w:rPr>
                <w:rFonts w:eastAsia="Calibri" w:cs="Times New Roman"/>
                <w:sz w:val="22"/>
                <w:szCs w:val="22"/>
              </w:rPr>
              <w:t>Does the BU policy have a positive, negative or no impact in terms of seeking to eliminate unlawful discrimination, harassment, victimisation and any other conduct prohibited by the Act (Equality Act, 2010) at the University?</w:t>
            </w:r>
          </w:p>
        </w:tc>
        <w:tc>
          <w:tcPr>
            <w:tcW w:w="567" w:type="dxa"/>
            <w:shd w:val="clear" w:color="auto" w:fill="FFFFFF" w:themeFill="background1"/>
          </w:tcPr>
          <w:p w:rsidR="007E5F4C" w:rsidRPr="007F05C5" w:rsidRDefault="007E5F4C" w:rsidP="00C813A9">
            <w:pPr>
              <w:jc w:val="center"/>
              <w:rPr>
                <w:sz w:val="22"/>
                <w:szCs w:val="22"/>
              </w:rPr>
            </w:pPr>
            <w:r>
              <w:rPr>
                <w:sz w:val="22"/>
                <w:szCs w:val="22"/>
              </w:rPr>
              <w:t>NO</w:t>
            </w:r>
          </w:p>
        </w:tc>
        <w:tc>
          <w:tcPr>
            <w:tcW w:w="709" w:type="dxa"/>
            <w:shd w:val="clear" w:color="auto" w:fill="FFFFFF" w:themeFill="background1"/>
          </w:tcPr>
          <w:p w:rsidR="007E5F4C" w:rsidRPr="007F05C5" w:rsidRDefault="007E5F4C" w:rsidP="00C813A9">
            <w:pPr>
              <w:jc w:val="center"/>
              <w:rPr>
                <w:sz w:val="22"/>
                <w:szCs w:val="22"/>
              </w:rPr>
            </w:pPr>
            <w:r>
              <w:rPr>
                <w:sz w:val="22"/>
                <w:szCs w:val="22"/>
              </w:rPr>
              <w:t>NO</w:t>
            </w:r>
          </w:p>
        </w:tc>
        <w:tc>
          <w:tcPr>
            <w:tcW w:w="567" w:type="dxa"/>
            <w:shd w:val="clear" w:color="auto" w:fill="FFFFFF" w:themeFill="background1"/>
          </w:tcPr>
          <w:p w:rsidR="007E5F4C" w:rsidRPr="007F05C5" w:rsidRDefault="007E5F4C" w:rsidP="00C813A9">
            <w:pPr>
              <w:jc w:val="center"/>
              <w:rPr>
                <w:sz w:val="22"/>
                <w:szCs w:val="22"/>
              </w:rPr>
            </w:pPr>
            <w:r>
              <w:rPr>
                <w:sz w:val="22"/>
                <w:szCs w:val="22"/>
              </w:rPr>
              <w:t>NO</w:t>
            </w:r>
          </w:p>
        </w:tc>
        <w:tc>
          <w:tcPr>
            <w:tcW w:w="850" w:type="dxa"/>
            <w:shd w:val="clear" w:color="auto" w:fill="FFFFFF" w:themeFill="background1"/>
          </w:tcPr>
          <w:p w:rsidR="007E5F4C" w:rsidRPr="007F05C5" w:rsidRDefault="007E5F4C" w:rsidP="00C813A9">
            <w:pPr>
              <w:jc w:val="center"/>
              <w:rPr>
                <w:sz w:val="22"/>
                <w:szCs w:val="22"/>
              </w:rPr>
            </w:pPr>
            <w:r>
              <w:rPr>
                <w:sz w:val="22"/>
                <w:szCs w:val="22"/>
              </w:rPr>
              <w:t>NO</w:t>
            </w:r>
          </w:p>
        </w:tc>
        <w:tc>
          <w:tcPr>
            <w:tcW w:w="709" w:type="dxa"/>
            <w:shd w:val="clear" w:color="auto" w:fill="FFFFFF" w:themeFill="background1"/>
          </w:tcPr>
          <w:p w:rsidR="007E5F4C" w:rsidRPr="007F05C5" w:rsidRDefault="007E5F4C" w:rsidP="00C813A9">
            <w:pPr>
              <w:jc w:val="center"/>
              <w:rPr>
                <w:sz w:val="22"/>
                <w:szCs w:val="22"/>
              </w:rPr>
            </w:pPr>
            <w:r>
              <w:rPr>
                <w:sz w:val="22"/>
                <w:szCs w:val="22"/>
              </w:rPr>
              <w:t>NO</w:t>
            </w:r>
          </w:p>
        </w:tc>
        <w:tc>
          <w:tcPr>
            <w:tcW w:w="567" w:type="dxa"/>
            <w:shd w:val="clear" w:color="auto" w:fill="FFFFFF" w:themeFill="background1"/>
          </w:tcPr>
          <w:p w:rsidR="007E5F4C" w:rsidRPr="007F05C5" w:rsidRDefault="007E5F4C" w:rsidP="00C813A9">
            <w:pPr>
              <w:jc w:val="center"/>
              <w:rPr>
                <w:sz w:val="22"/>
                <w:szCs w:val="22"/>
              </w:rPr>
            </w:pPr>
            <w:r>
              <w:rPr>
                <w:sz w:val="22"/>
                <w:szCs w:val="22"/>
              </w:rPr>
              <w:t>NO</w:t>
            </w:r>
          </w:p>
        </w:tc>
        <w:tc>
          <w:tcPr>
            <w:tcW w:w="709" w:type="dxa"/>
            <w:shd w:val="clear" w:color="auto" w:fill="FFFFFF" w:themeFill="background1"/>
          </w:tcPr>
          <w:p w:rsidR="007E5F4C" w:rsidRPr="007F05C5" w:rsidRDefault="007E5F4C" w:rsidP="00C813A9">
            <w:pPr>
              <w:jc w:val="center"/>
              <w:rPr>
                <w:sz w:val="22"/>
                <w:szCs w:val="22"/>
              </w:rPr>
            </w:pPr>
            <w:r>
              <w:rPr>
                <w:sz w:val="22"/>
                <w:szCs w:val="22"/>
              </w:rPr>
              <w:t>NO</w:t>
            </w:r>
          </w:p>
        </w:tc>
        <w:tc>
          <w:tcPr>
            <w:tcW w:w="708" w:type="dxa"/>
            <w:shd w:val="clear" w:color="auto" w:fill="FFFFFF" w:themeFill="background1"/>
          </w:tcPr>
          <w:p w:rsidR="007E5F4C" w:rsidRPr="007F05C5" w:rsidRDefault="007E5F4C" w:rsidP="00C813A9">
            <w:pPr>
              <w:jc w:val="center"/>
              <w:rPr>
                <w:sz w:val="22"/>
                <w:szCs w:val="22"/>
              </w:rPr>
            </w:pPr>
            <w:r>
              <w:rPr>
                <w:sz w:val="22"/>
                <w:szCs w:val="22"/>
              </w:rPr>
              <w:t>NO</w:t>
            </w:r>
          </w:p>
        </w:tc>
        <w:tc>
          <w:tcPr>
            <w:tcW w:w="851" w:type="dxa"/>
            <w:shd w:val="clear" w:color="auto" w:fill="D9D9D9" w:themeFill="background1" w:themeFillShade="D9"/>
          </w:tcPr>
          <w:p w:rsidR="007E5F4C" w:rsidRDefault="007E5F4C" w:rsidP="00A164E7">
            <w:pPr>
              <w:jc w:val="center"/>
              <w:rPr>
                <w:rFonts w:eastAsia="SimSun" w:cs="Arial"/>
                <w:b/>
                <w:sz w:val="22"/>
                <w:szCs w:val="22"/>
                <w:lang w:eastAsia="zh-CN"/>
              </w:rPr>
            </w:pPr>
          </w:p>
          <w:p w:rsidR="007E5F4C" w:rsidRPr="007F05C5" w:rsidRDefault="007E5F4C" w:rsidP="00A164E7">
            <w:pPr>
              <w:jc w:val="center"/>
              <w:rPr>
                <w:rFonts w:eastAsia="SimSun" w:cs="Arial"/>
                <w:b/>
                <w:sz w:val="22"/>
                <w:szCs w:val="22"/>
                <w:lang w:eastAsia="zh-CN"/>
              </w:rPr>
            </w:pPr>
            <w:r w:rsidRPr="007F05C5">
              <w:rPr>
                <w:rFonts w:eastAsia="SimSun" w:cs="Arial"/>
                <w:b/>
                <w:sz w:val="22"/>
                <w:szCs w:val="22"/>
                <w:lang w:eastAsia="zh-CN"/>
              </w:rPr>
              <w:t>N/A</w:t>
            </w:r>
          </w:p>
        </w:tc>
      </w:tr>
      <w:tr w:rsidR="006449B2" w:rsidRPr="007F05C5" w:rsidTr="00B54D82">
        <w:trPr>
          <w:trHeight w:val="299"/>
        </w:trPr>
        <w:tc>
          <w:tcPr>
            <w:tcW w:w="709" w:type="dxa"/>
            <w:shd w:val="clear" w:color="auto" w:fill="D9D9D9" w:themeFill="background1" w:themeFillShade="D9"/>
          </w:tcPr>
          <w:p w:rsidR="006449B2" w:rsidRPr="007F05C5" w:rsidRDefault="006449B2" w:rsidP="00A164E7">
            <w:pPr>
              <w:rPr>
                <w:b/>
                <w:sz w:val="22"/>
                <w:szCs w:val="22"/>
              </w:rPr>
            </w:pPr>
            <w:r w:rsidRPr="007F05C5">
              <w:rPr>
                <w:b/>
                <w:sz w:val="22"/>
                <w:szCs w:val="22"/>
              </w:rPr>
              <w:t>4.</w:t>
            </w:r>
          </w:p>
        </w:tc>
        <w:tc>
          <w:tcPr>
            <w:tcW w:w="8931" w:type="dxa"/>
            <w:shd w:val="clear" w:color="auto" w:fill="D9D9D9" w:themeFill="background1" w:themeFillShade="D9"/>
          </w:tcPr>
          <w:p w:rsidR="006449B2" w:rsidRPr="00A10800" w:rsidRDefault="006449B2" w:rsidP="00A164E7">
            <w:pPr>
              <w:rPr>
                <w:b/>
                <w:sz w:val="22"/>
                <w:szCs w:val="22"/>
              </w:rPr>
            </w:pPr>
            <w:r w:rsidRPr="00A10800">
              <w:rPr>
                <w:b/>
                <w:sz w:val="22"/>
                <w:szCs w:val="22"/>
              </w:rPr>
              <w:t>Decisions/ Feedback/ Approval</w:t>
            </w:r>
          </w:p>
        </w:tc>
        <w:tc>
          <w:tcPr>
            <w:tcW w:w="6237" w:type="dxa"/>
            <w:gridSpan w:val="9"/>
            <w:shd w:val="clear" w:color="auto" w:fill="D9D9D9" w:themeFill="background1" w:themeFillShade="D9"/>
          </w:tcPr>
          <w:p w:rsidR="006449B2" w:rsidRPr="007F05C5" w:rsidRDefault="006449B2" w:rsidP="00A164E7">
            <w:pPr>
              <w:jc w:val="center"/>
              <w:rPr>
                <w:b/>
                <w:sz w:val="22"/>
                <w:szCs w:val="22"/>
              </w:rPr>
            </w:pPr>
            <w:r w:rsidRPr="007F05C5">
              <w:rPr>
                <w:b/>
                <w:sz w:val="22"/>
                <w:szCs w:val="22"/>
              </w:rPr>
              <w:t>Answer</w:t>
            </w:r>
          </w:p>
        </w:tc>
      </w:tr>
      <w:tr w:rsidR="006449B2" w:rsidRPr="007F05C5" w:rsidTr="00B54D82">
        <w:trPr>
          <w:trHeight w:val="299"/>
        </w:trPr>
        <w:tc>
          <w:tcPr>
            <w:tcW w:w="709" w:type="dxa"/>
            <w:shd w:val="clear" w:color="auto" w:fill="FFFFFF" w:themeFill="background1"/>
          </w:tcPr>
          <w:p w:rsidR="006449B2" w:rsidRPr="007F05C5" w:rsidRDefault="006449B2" w:rsidP="00A164E7">
            <w:pPr>
              <w:rPr>
                <w:sz w:val="22"/>
                <w:szCs w:val="22"/>
              </w:rPr>
            </w:pPr>
            <w:r w:rsidRPr="007F05C5">
              <w:rPr>
                <w:sz w:val="22"/>
                <w:szCs w:val="22"/>
              </w:rPr>
              <w:t>4.1</w:t>
            </w:r>
          </w:p>
        </w:tc>
        <w:tc>
          <w:tcPr>
            <w:tcW w:w="8931" w:type="dxa"/>
            <w:shd w:val="clear" w:color="auto" w:fill="FFFFFF" w:themeFill="background1"/>
          </w:tcPr>
          <w:p w:rsidR="006449B2" w:rsidRPr="00A10800" w:rsidRDefault="006449B2" w:rsidP="00A164E7">
            <w:pPr>
              <w:rPr>
                <w:b/>
                <w:sz w:val="22"/>
                <w:szCs w:val="22"/>
              </w:rPr>
            </w:pPr>
            <w:r w:rsidRPr="00A10800">
              <w:rPr>
                <w:rFonts w:eastAsia="SimSun" w:cs="Arial"/>
                <w:sz w:val="22"/>
                <w:szCs w:val="22"/>
              </w:rPr>
              <w:t xml:space="preserve">What </w:t>
            </w:r>
            <w:proofErr w:type="gramStart"/>
            <w:r w:rsidRPr="00A10800">
              <w:rPr>
                <w:rFonts w:eastAsia="SimSun" w:cs="Arial"/>
                <w:sz w:val="22"/>
                <w:szCs w:val="22"/>
              </w:rPr>
              <w:t>are the decision outcomes</w:t>
            </w:r>
            <w:proofErr w:type="gramEnd"/>
            <w:r w:rsidRPr="00A10800">
              <w:rPr>
                <w:rFonts w:eastAsia="SimSun" w:cs="Arial"/>
                <w:sz w:val="22"/>
                <w:szCs w:val="22"/>
              </w:rPr>
              <w:t xml:space="preserve"> as outlined in </w:t>
            </w:r>
            <w:hyperlink w:anchor="_Table_3:_Decision" w:history="1">
              <w:r w:rsidRPr="00783383">
                <w:rPr>
                  <w:rStyle w:val="Hyperlink"/>
                  <w:rFonts w:eastAsia="SimSun" w:cs="Arial"/>
                  <w:color w:val="4F81BD" w:themeColor="accent1"/>
                  <w:sz w:val="22"/>
                  <w:szCs w:val="22"/>
                </w:rPr>
                <w:t>Table 3</w:t>
              </w:r>
            </w:hyperlink>
            <w:r w:rsidRPr="00783383">
              <w:rPr>
                <w:rStyle w:val="Hyperlink"/>
                <w:rFonts w:eastAsia="SimSun" w:cs="Arial"/>
                <w:color w:val="4F81BD" w:themeColor="accent1"/>
                <w:sz w:val="22"/>
                <w:szCs w:val="22"/>
                <w:u w:val="none"/>
              </w:rPr>
              <w:t xml:space="preserve"> </w:t>
            </w:r>
            <w:r w:rsidR="000D2EBF">
              <w:rPr>
                <w:rStyle w:val="Hyperlink"/>
                <w:rFonts w:eastAsia="SimSun" w:cs="Arial"/>
                <w:color w:val="auto"/>
                <w:sz w:val="22"/>
                <w:szCs w:val="22"/>
                <w:u w:val="none"/>
              </w:rPr>
              <w:t>of the guidelines</w:t>
            </w:r>
            <w:r w:rsidRPr="000D2EBF">
              <w:rPr>
                <w:rStyle w:val="Hyperlink"/>
                <w:rFonts w:eastAsia="SimSun" w:cs="Arial"/>
                <w:color w:val="auto"/>
                <w:sz w:val="22"/>
                <w:szCs w:val="22"/>
                <w:u w:val="none"/>
              </w:rPr>
              <w:t xml:space="preserve"> as part of the first assessment or at the review stage?</w:t>
            </w:r>
          </w:p>
        </w:tc>
        <w:tc>
          <w:tcPr>
            <w:tcW w:w="6237" w:type="dxa"/>
            <w:gridSpan w:val="9"/>
            <w:shd w:val="clear" w:color="auto" w:fill="FFFFFF" w:themeFill="background1"/>
          </w:tcPr>
          <w:p w:rsidR="006449B2" w:rsidRPr="00F945E4" w:rsidRDefault="00F945E4" w:rsidP="00F945E4">
            <w:pPr>
              <w:rPr>
                <w:sz w:val="22"/>
                <w:szCs w:val="22"/>
              </w:rPr>
            </w:pPr>
            <w:r w:rsidRPr="00F945E4">
              <w:rPr>
                <w:sz w:val="22"/>
                <w:szCs w:val="22"/>
              </w:rPr>
              <w:t>Continue the BU Policy (Level 1)</w:t>
            </w:r>
          </w:p>
        </w:tc>
      </w:tr>
      <w:tr w:rsidR="006449B2" w:rsidRPr="007F05C5" w:rsidTr="00B54D82">
        <w:trPr>
          <w:trHeight w:val="299"/>
        </w:trPr>
        <w:tc>
          <w:tcPr>
            <w:tcW w:w="709" w:type="dxa"/>
            <w:shd w:val="clear" w:color="auto" w:fill="FFFFFF" w:themeFill="background1"/>
          </w:tcPr>
          <w:p w:rsidR="006449B2" w:rsidRPr="007F05C5" w:rsidRDefault="006449B2" w:rsidP="00A164E7">
            <w:pPr>
              <w:rPr>
                <w:color w:val="00B050"/>
                <w:sz w:val="22"/>
                <w:szCs w:val="22"/>
              </w:rPr>
            </w:pPr>
            <w:r w:rsidRPr="00204B52">
              <w:rPr>
                <w:sz w:val="22"/>
                <w:szCs w:val="22"/>
              </w:rPr>
              <w:t>4.2</w:t>
            </w:r>
          </w:p>
        </w:tc>
        <w:tc>
          <w:tcPr>
            <w:tcW w:w="8931" w:type="dxa"/>
            <w:shd w:val="clear" w:color="auto" w:fill="FFFFFF" w:themeFill="background1"/>
          </w:tcPr>
          <w:p w:rsidR="006449B2" w:rsidRPr="00A10800" w:rsidRDefault="006449B2" w:rsidP="00A164E7">
            <w:pPr>
              <w:rPr>
                <w:rFonts w:eastAsia="SimSun" w:cs="Arial"/>
                <w:sz w:val="22"/>
                <w:szCs w:val="22"/>
              </w:rPr>
            </w:pPr>
            <w:r w:rsidRPr="00A10800">
              <w:rPr>
                <w:rFonts w:eastAsia="SimSun" w:cs="Arial"/>
                <w:sz w:val="22"/>
                <w:szCs w:val="22"/>
              </w:rPr>
              <w:t xml:space="preserve">In what way have the decision outcomes changed since the first assessment? </w:t>
            </w:r>
          </w:p>
        </w:tc>
        <w:tc>
          <w:tcPr>
            <w:tcW w:w="6237" w:type="dxa"/>
            <w:gridSpan w:val="9"/>
            <w:shd w:val="clear" w:color="auto" w:fill="FFFFFF" w:themeFill="background1"/>
          </w:tcPr>
          <w:p w:rsidR="006449B2" w:rsidRPr="00F945E4" w:rsidRDefault="00F945E4" w:rsidP="00F945E4">
            <w:pPr>
              <w:rPr>
                <w:color w:val="00B050"/>
                <w:sz w:val="22"/>
                <w:szCs w:val="22"/>
              </w:rPr>
            </w:pPr>
            <w:r w:rsidRPr="00F945E4">
              <w:rPr>
                <w:sz w:val="22"/>
                <w:szCs w:val="22"/>
              </w:rPr>
              <w:t>This is the first review</w:t>
            </w:r>
          </w:p>
        </w:tc>
      </w:tr>
      <w:tr w:rsidR="006449B2" w:rsidRPr="007F05C5" w:rsidTr="00B54D82">
        <w:tc>
          <w:tcPr>
            <w:tcW w:w="709" w:type="dxa"/>
          </w:tcPr>
          <w:p w:rsidR="006449B2" w:rsidRPr="007F05C5" w:rsidRDefault="006449B2" w:rsidP="00A164E7">
            <w:pPr>
              <w:rPr>
                <w:sz w:val="22"/>
                <w:szCs w:val="22"/>
              </w:rPr>
            </w:pPr>
            <w:r w:rsidRPr="007F05C5">
              <w:rPr>
                <w:sz w:val="22"/>
                <w:szCs w:val="22"/>
              </w:rPr>
              <w:t>4.3</w:t>
            </w:r>
          </w:p>
        </w:tc>
        <w:tc>
          <w:tcPr>
            <w:tcW w:w="8931" w:type="dxa"/>
          </w:tcPr>
          <w:p w:rsidR="006449B2" w:rsidRPr="007F05C5" w:rsidRDefault="006449B2" w:rsidP="00A164E7">
            <w:pPr>
              <w:rPr>
                <w:sz w:val="22"/>
                <w:szCs w:val="22"/>
              </w:rPr>
            </w:pPr>
            <w:r w:rsidRPr="007F05C5">
              <w:rPr>
                <w:sz w:val="22"/>
                <w:szCs w:val="22"/>
              </w:rPr>
              <w:t xml:space="preserve">What actions need to be taken to promote/share any positive impact as part of the </w:t>
            </w:r>
            <w:r>
              <w:rPr>
                <w:sz w:val="22"/>
                <w:szCs w:val="22"/>
              </w:rPr>
              <w:t>first assessment or</w:t>
            </w:r>
            <w:r w:rsidRPr="007F05C5">
              <w:rPr>
                <w:sz w:val="22"/>
                <w:szCs w:val="22"/>
              </w:rPr>
              <w:t xml:space="preserve"> review?</w:t>
            </w:r>
          </w:p>
        </w:tc>
        <w:tc>
          <w:tcPr>
            <w:tcW w:w="6237" w:type="dxa"/>
            <w:gridSpan w:val="9"/>
          </w:tcPr>
          <w:p w:rsidR="006449B2" w:rsidRPr="006913B9" w:rsidRDefault="00F945E4" w:rsidP="006913B9">
            <w:pPr>
              <w:rPr>
                <w:sz w:val="22"/>
                <w:szCs w:val="22"/>
              </w:rPr>
            </w:pPr>
            <w:r w:rsidRPr="006913B9">
              <w:rPr>
                <w:sz w:val="22"/>
                <w:szCs w:val="22"/>
              </w:rPr>
              <w:t>Update facilities information via the University and ‘disabled-go’ websites</w:t>
            </w:r>
          </w:p>
        </w:tc>
      </w:tr>
      <w:tr w:rsidR="006449B2" w:rsidRPr="007F05C5" w:rsidTr="00B54D82">
        <w:tc>
          <w:tcPr>
            <w:tcW w:w="709" w:type="dxa"/>
          </w:tcPr>
          <w:p w:rsidR="006449B2" w:rsidRPr="007F05C5" w:rsidRDefault="006449B2" w:rsidP="00A164E7">
            <w:pPr>
              <w:rPr>
                <w:sz w:val="22"/>
                <w:szCs w:val="22"/>
              </w:rPr>
            </w:pPr>
            <w:r w:rsidRPr="007F05C5">
              <w:rPr>
                <w:sz w:val="22"/>
                <w:szCs w:val="22"/>
              </w:rPr>
              <w:t>4.4</w:t>
            </w:r>
          </w:p>
        </w:tc>
        <w:tc>
          <w:tcPr>
            <w:tcW w:w="8931" w:type="dxa"/>
          </w:tcPr>
          <w:p w:rsidR="006449B2" w:rsidRPr="007F05C5" w:rsidRDefault="006449B2" w:rsidP="00A164E7">
            <w:pPr>
              <w:rPr>
                <w:sz w:val="22"/>
                <w:szCs w:val="22"/>
              </w:rPr>
            </w:pPr>
            <w:r w:rsidRPr="007F05C5">
              <w:rPr>
                <w:sz w:val="22"/>
                <w:szCs w:val="22"/>
              </w:rPr>
              <w:t xml:space="preserve">What actions need to be taken to mitigate any negative impact as part of the </w:t>
            </w:r>
            <w:r>
              <w:rPr>
                <w:sz w:val="22"/>
                <w:szCs w:val="22"/>
              </w:rPr>
              <w:t>first assessment or</w:t>
            </w:r>
            <w:r w:rsidRPr="007F05C5">
              <w:rPr>
                <w:sz w:val="22"/>
                <w:szCs w:val="22"/>
              </w:rPr>
              <w:t xml:space="preserve"> review?</w:t>
            </w:r>
          </w:p>
        </w:tc>
        <w:tc>
          <w:tcPr>
            <w:tcW w:w="6237" w:type="dxa"/>
            <w:gridSpan w:val="9"/>
          </w:tcPr>
          <w:p w:rsidR="006449B2" w:rsidRDefault="00526C61" w:rsidP="00151E10">
            <w:pPr>
              <w:pStyle w:val="ListParagraph"/>
              <w:numPr>
                <w:ilvl w:val="0"/>
                <w:numId w:val="34"/>
              </w:numPr>
              <w:rPr>
                <w:sz w:val="22"/>
                <w:szCs w:val="22"/>
              </w:rPr>
            </w:pPr>
            <w:r w:rsidRPr="00151E10">
              <w:rPr>
                <w:sz w:val="22"/>
                <w:szCs w:val="22"/>
              </w:rPr>
              <w:t xml:space="preserve">A site management plan needs to be developed and communicated to mitigate the risk of disruption to campus users during the construction phase, covering noise, dust, pollution, transport, pedestrian routes, disabled parking etc. </w:t>
            </w:r>
          </w:p>
          <w:p w:rsidR="00151E10" w:rsidRDefault="00151E10" w:rsidP="00151E10">
            <w:pPr>
              <w:pStyle w:val="ListParagraph"/>
              <w:numPr>
                <w:ilvl w:val="0"/>
                <w:numId w:val="34"/>
              </w:numPr>
              <w:rPr>
                <w:sz w:val="22"/>
                <w:szCs w:val="22"/>
              </w:rPr>
            </w:pPr>
            <w:proofErr w:type="spellStart"/>
            <w:r>
              <w:rPr>
                <w:sz w:val="22"/>
                <w:szCs w:val="22"/>
              </w:rPr>
              <w:t>Willmott</w:t>
            </w:r>
            <w:proofErr w:type="spellEnd"/>
            <w:r>
              <w:rPr>
                <w:sz w:val="22"/>
                <w:szCs w:val="22"/>
              </w:rPr>
              <w:t xml:space="preserve"> Dixon will also be required to prepare a pre-</w:t>
            </w:r>
            <w:r>
              <w:rPr>
                <w:sz w:val="22"/>
                <w:szCs w:val="22"/>
              </w:rPr>
              <w:lastRenderedPageBreak/>
              <w:t xml:space="preserve">construction health and safety plan which will be reviewed and approved by the CDM Co-ordinator and BU’s health and safety team. </w:t>
            </w:r>
          </w:p>
          <w:p w:rsidR="00BA0681" w:rsidRPr="00151E10" w:rsidRDefault="00BA0681" w:rsidP="00151E10">
            <w:pPr>
              <w:pStyle w:val="ListParagraph"/>
              <w:numPr>
                <w:ilvl w:val="0"/>
                <w:numId w:val="34"/>
              </w:numPr>
              <w:rPr>
                <w:sz w:val="22"/>
                <w:szCs w:val="22"/>
              </w:rPr>
            </w:pPr>
            <w:proofErr w:type="spellStart"/>
            <w:r>
              <w:rPr>
                <w:sz w:val="22"/>
                <w:szCs w:val="22"/>
              </w:rPr>
              <w:t>Willmott</w:t>
            </w:r>
            <w:proofErr w:type="spellEnd"/>
            <w:r>
              <w:rPr>
                <w:sz w:val="22"/>
                <w:szCs w:val="22"/>
              </w:rPr>
              <w:t xml:space="preserve"> Dixon will be required to comply with the best practice principles of the ‘Considerate Constructors Scheme</w:t>
            </w:r>
            <w:r w:rsidR="00A21199">
              <w:rPr>
                <w:sz w:val="22"/>
                <w:szCs w:val="22"/>
              </w:rPr>
              <w:t>,</w:t>
            </w:r>
            <w:r>
              <w:rPr>
                <w:sz w:val="22"/>
                <w:szCs w:val="22"/>
              </w:rPr>
              <w:t xml:space="preserve">’ for more info visit the scheme website at </w:t>
            </w:r>
            <w:r w:rsidR="002F551B" w:rsidRPr="002F551B">
              <w:rPr>
                <w:rStyle w:val="HTMLCite"/>
                <w:rFonts w:cs="Arial"/>
                <w:color w:val="auto"/>
                <w:sz w:val="22"/>
                <w:szCs w:val="22"/>
              </w:rPr>
              <w:t>www.ccscheme.org.uk</w:t>
            </w:r>
            <w:r w:rsidR="002F551B" w:rsidRPr="002F551B">
              <w:rPr>
                <w:rStyle w:val="HTMLCite"/>
                <w:rFonts w:cs="Arial"/>
                <w:color w:val="auto"/>
                <w:sz w:val="22"/>
                <w:szCs w:val="22"/>
              </w:rPr>
              <w:t>.</w:t>
            </w:r>
          </w:p>
          <w:p w:rsidR="00526C61" w:rsidRPr="007F05C5" w:rsidRDefault="00526C61" w:rsidP="00F945E4">
            <w:pPr>
              <w:rPr>
                <w:sz w:val="22"/>
                <w:szCs w:val="22"/>
              </w:rPr>
            </w:pPr>
          </w:p>
        </w:tc>
      </w:tr>
      <w:tr w:rsidR="006449B2" w:rsidRPr="007F05C5" w:rsidTr="00B54D82">
        <w:tc>
          <w:tcPr>
            <w:tcW w:w="709" w:type="dxa"/>
          </w:tcPr>
          <w:p w:rsidR="006449B2" w:rsidRPr="007F05C5" w:rsidRDefault="006449B2" w:rsidP="00A164E7">
            <w:pPr>
              <w:rPr>
                <w:sz w:val="22"/>
                <w:szCs w:val="22"/>
              </w:rPr>
            </w:pPr>
            <w:r w:rsidRPr="007F05C5">
              <w:rPr>
                <w:sz w:val="22"/>
                <w:szCs w:val="22"/>
              </w:rPr>
              <w:lastRenderedPageBreak/>
              <w:t>4.5</w:t>
            </w:r>
          </w:p>
        </w:tc>
        <w:tc>
          <w:tcPr>
            <w:tcW w:w="8931" w:type="dxa"/>
          </w:tcPr>
          <w:p w:rsidR="006449B2" w:rsidRPr="007F05C5" w:rsidRDefault="006449B2" w:rsidP="00A164E7">
            <w:pPr>
              <w:rPr>
                <w:sz w:val="22"/>
                <w:szCs w:val="22"/>
              </w:rPr>
            </w:pPr>
            <w:r w:rsidRPr="007F05C5">
              <w:rPr>
                <w:sz w:val="22"/>
                <w:szCs w:val="22"/>
              </w:rPr>
              <w:t>Who completed this</w:t>
            </w:r>
            <w:r w:rsidRPr="00A10800">
              <w:rPr>
                <w:sz w:val="22"/>
                <w:szCs w:val="22"/>
              </w:rPr>
              <w:t xml:space="preserve"> first </w:t>
            </w:r>
            <w:r w:rsidRPr="007F05C5">
              <w:rPr>
                <w:sz w:val="22"/>
                <w:szCs w:val="22"/>
              </w:rPr>
              <w:t>assessment or review?</w:t>
            </w:r>
          </w:p>
        </w:tc>
        <w:tc>
          <w:tcPr>
            <w:tcW w:w="6237" w:type="dxa"/>
            <w:gridSpan w:val="9"/>
          </w:tcPr>
          <w:p w:rsidR="006449B2" w:rsidRPr="007F05C5" w:rsidRDefault="00132E1D" w:rsidP="00F945E4">
            <w:pPr>
              <w:rPr>
                <w:sz w:val="22"/>
                <w:szCs w:val="22"/>
              </w:rPr>
            </w:pPr>
            <w:r>
              <w:rPr>
                <w:sz w:val="22"/>
                <w:szCs w:val="22"/>
              </w:rPr>
              <w:t>Rob Lipcar, Senior Project Manager</w:t>
            </w:r>
          </w:p>
        </w:tc>
      </w:tr>
      <w:tr w:rsidR="006449B2" w:rsidRPr="007F05C5" w:rsidTr="00B54D82">
        <w:tc>
          <w:tcPr>
            <w:tcW w:w="709" w:type="dxa"/>
          </w:tcPr>
          <w:p w:rsidR="006449B2" w:rsidRPr="007F05C5" w:rsidRDefault="006449B2" w:rsidP="00A164E7">
            <w:pPr>
              <w:rPr>
                <w:sz w:val="22"/>
                <w:szCs w:val="22"/>
              </w:rPr>
            </w:pPr>
            <w:r w:rsidRPr="007F05C5">
              <w:rPr>
                <w:sz w:val="22"/>
                <w:szCs w:val="22"/>
              </w:rPr>
              <w:t>4.7</w:t>
            </w:r>
          </w:p>
        </w:tc>
        <w:tc>
          <w:tcPr>
            <w:tcW w:w="8931" w:type="dxa"/>
          </w:tcPr>
          <w:p w:rsidR="006449B2" w:rsidRPr="007F05C5" w:rsidRDefault="006449B2" w:rsidP="00A164E7">
            <w:pPr>
              <w:rPr>
                <w:sz w:val="22"/>
                <w:szCs w:val="22"/>
              </w:rPr>
            </w:pPr>
            <w:r w:rsidRPr="007F05C5">
              <w:rPr>
                <w:sz w:val="22"/>
                <w:szCs w:val="22"/>
              </w:rPr>
              <w:t xml:space="preserve">What feedback </w:t>
            </w:r>
            <w:r w:rsidR="000D2EBF">
              <w:rPr>
                <w:sz w:val="22"/>
                <w:szCs w:val="22"/>
              </w:rPr>
              <w:t>has been provided from DDESG</w:t>
            </w:r>
            <w:r w:rsidRPr="007F05C5">
              <w:rPr>
                <w:sz w:val="22"/>
                <w:szCs w:val="22"/>
              </w:rPr>
              <w:t xml:space="preserve"> to the assessment</w:t>
            </w:r>
            <w:r>
              <w:rPr>
                <w:sz w:val="22"/>
                <w:szCs w:val="22"/>
              </w:rPr>
              <w:t xml:space="preserve"> or review</w:t>
            </w:r>
            <w:r w:rsidRPr="007F05C5">
              <w:rPr>
                <w:sz w:val="22"/>
                <w:szCs w:val="22"/>
              </w:rPr>
              <w:t>?</w:t>
            </w:r>
          </w:p>
        </w:tc>
        <w:tc>
          <w:tcPr>
            <w:tcW w:w="6237" w:type="dxa"/>
            <w:gridSpan w:val="9"/>
          </w:tcPr>
          <w:p w:rsidR="006449B2" w:rsidRPr="007F05C5" w:rsidRDefault="00606E67" w:rsidP="00F945E4">
            <w:pPr>
              <w:rPr>
                <w:sz w:val="22"/>
                <w:szCs w:val="22"/>
              </w:rPr>
            </w:pPr>
            <w:r>
              <w:rPr>
                <w:sz w:val="22"/>
                <w:szCs w:val="22"/>
              </w:rPr>
              <w:t>Request to provide a gender natural toilet</w:t>
            </w:r>
            <w:r w:rsidR="002F551B">
              <w:rPr>
                <w:sz w:val="22"/>
                <w:szCs w:val="22"/>
              </w:rPr>
              <w:t>.</w:t>
            </w:r>
          </w:p>
        </w:tc>
      </w:tr>
      <w:tr w:rsidR="006449B2" w:rsidRPr="007F05C5" w:rsidTr="00B54D82">
        <w:tc>
          <w:tcPr>
            <w:tcW w:w="709" w:type="dxa"/>
          </w:tcPr>
          <w:p w:rsidR="006449B2" w:rsidRPr="007F05C5" w:rsidRDefault="006449B2" w:rsidP="00A164E7">
            <w:pPr>
              <w:rPr>
                <w:sz w:val="22"/>
                <w:szCs w:val="22"/>
              </w:rPr>
            </w:pPr>
            <w:r w:rsidRPr="007F05C5">
              <w:rPr>
                <w:sz w:val="22"/>
                <w:szCs w:val="22"/>
              </w:rPr>
              <w:t>4.8</w:t>
            </w:r>
          </w:p>
        </w:tc>
        <w:tc>
          <w:tcPr>
            <w:tcW w:w="8931" w:type="dxa"/>
          </w:tcPr>
          <w:p w:rsidR="006449B2" w:rsidRPr="007F05C5" w:rsidRDefault="006449B2" w:rsidP="00A164E7">
            <w:pPr>
              <w:rPr>
                <w:sz w:val="22"/>
                <w:szCs w:val="22"/>
              </w:rPr>
            </w:pPr>
            <w:r w:rsidRPr="007F05C5">
              <w:rPr>
                <w:sz w:val="22"/>
                <w:szCs w:val="22"/>
              </w:rPr>
              <w:t xml:space="preserve">How has feedback from DDESG been used to inform the first assessment </w:t>
            </w:r>
            <w:r>
              <w:rPr>
                <w:sz w:val="22"/>
                <w:szCs w:val="22"/>
              </w:rPr>
              <w:t>or review</w:t>
            </w:r>
            <w:r w:rsidRPr="007F05C5">
              <w:rPr>
                <w:sz w:val="22"/>
                <w:szCs w:val="22"/>
              </w:rPr>
              <w:t>?</w:t>
            </w:r>
          </w:p>
        </w:tc>
        <w:tc>
          <w:tcPr>
            <w:tcW w:w="6237" w:type="dxa"/>
            <w:gridSpan w:val="9"/>
          </w:tcPr>
          <w:p w:rsidR="006449B2" w:rsidRPr="007F05C5" w:rsidRDefault="00606E67" w:rsidP="00606E67">
            <w:pPr>
              <w:rPr>
                <w:sz w:val="22"/>
                <w:szCs w:val="22"/>
              </w:rPr>
            </w:pPr>
            <w:r>
              <w:rPr>
                <w:sz w:val="22"/>
                <w:szCs w:val="22"/>
              </w:rPr>
              <w:t xml:space="preserve">The brief has been revised to include a gender neutral toilet </w:t>
            </w:r>
          </w:p>
        </w:tc>
      </w:tr>
      <w:tr w:rsidR="006449B2" w:rsidRPr="007F05C5" w:rsidTr="00B54D82">
        <w:tc>
          <w:tcPr>
            <w:tcW w:w="709" w:type="dxa"/>
          </w:tcPr>
          <w:p w:rsidR="006449B2" w:rsidRPr="007F05C5" w:rsidRDefault="006449B2" w:rsidP="00A164E7">
            <w:pPr>
              <w:rPr>
                <w:sz w:val="22"/>
                <w:szCs w:val="22"/>
              </w:rPr>
            </w:pPr>
            <w:r w:rsidRPr="007F05C5">
              <w:rPr>
                <w:sz w:val="22"/>
                <w:szCs w:val="22"/>
              </w:rPr>
              <w:t>4.9</w:t>
            </w:r>
          </w:p>
        </w:tc>
        <w:tc>
          <w:tcPr>
            <w:tcW w:w="8931" w:type="dxa"/>
          </w:tcPr>
          <w:p w:rsidR="006449B2" w:rsidRPr="007F05C5" w:rsidRDefault="006449B2" w:rsidP="00A164E7">
            <w:pPr>
              <w:rPr>
                <w:sz w:val="22"/>
                <w:szCs w:val="22"/>
              </w:rPr>
            </w:pPr>
            <w:r w:rsidRPr="007F05C5">
              <w:rPr>
                <w:sz w:val="22"/>
                <w:szCs w:val="22"/>
              </w:rPr>
              <w:t>Which School/Professional Service Executive Committee has approved this assessment?</w:t>
            </w:r>
          </w:p>
        </w:tc>
        <w:tc>
          <w:tcPr>
            <w:tcW w:w="6237" w:type="dxa"/>
            <w:gridSpan w:val="9"/>
          </w:tcPr>
          <w:p w:rsidR="006449B2" w:rsidRPr="007F05C5" w:rsidRDefault="00606E67" w:rsidP="00606E67">
            <w:pPr>
              <w:rPr>
                <w:sz w:val="22"/>
                <w:szCs w:val="22"/>
              </w:rPr>
            </w:pPr>
            <w:r>
              <w:rPr>
                <w:sz w:val="22"/>
                <w:szCs w:val="22"/>
              </w:rPr>
              <w:t xml:space="preserve">Estates Directorate </w:t>
            </w:r>
          </w:p>
        </w:tc>
      </w:tr>
      <w:tr w:rsidR="006449B2" w:rsidRPr="007F05C5" w:rsidTr="00B54D82">
        <w:tc>
          <w:tcPr>
            <w:tcW w:w="709" w:type="dxa"/>
          </w:tcPr>
          <w:p w:rsidR="006449B2" w:rsidRPr="007F05C5" w:rsidRDefault="006449B2" w:rsidP="00A164E7">
            <w:pPr>
              <w:rPr>
                <w:sz w:val="22"/>
                <w:szCs w:val="22"/>
              </w:rPr>
            </w:pPr>
            <w:r w:rsidRPr="007F05C5">
              <w:rPr>
                <w:sz w:val="22"/>
                <w:szCs w:val="22"/>
              </w:rPr>
              <w:t>4.10</w:t>
            </w:r>
          </w:p>
        </w:tc>
        <w:tc>
          <w:tcPr>
            <w:tcW w:w="8931" w:type="dxa"/>
          </w:tcPr>
          <w:p w:rsidR="006449B2" w:rsidRPr="007F05C5" w:rsidRDefault="006449B2" w:rsidP="00A164E7">
            <w:pPr>
              <w:rPr>
                <w:sz w:val="22"/>
                <w:szCs w:val="22"/>
              </w:rPr>
            </w:pPr>
            <w:r w:rsidRPr="007F05C5">
              <w:rPr>
                <w:sz w:val="22"/>
                <w:szCs w:val="22"/>
              </w:rPr>
              <w:t>Date approved by School or Professional Services Executive Committee</w:t>
            </w:r>
          </w:p>
        </w:tc>
        <w:tc>
          <w:tcPr>
            <w:tcW w:w="6237" w:type="dxa"/>
            <w:gridSpan w:val="9"/>
          </w:tcPr>
          <w:p w:rsidR="006449B2" w:rsidRPr="007F05C5" w:rsidRDefault="00606E67" w:rsidP="00606E67">
            <w:pPr>
              <w:rPr>
                <w:sz w:val="22"/>
                <w:szCs w:val="22"/>
              </w:rPr>
            </w:pPr>
            <w:proofErr w:type="spellStart"/>
            <w:r>
              <w:rPr>
                <w:sz w:val="22"/>
                <w:szCs w:val="22"/>
              </w:rPr>
              <w:t>tbc</w:t>
            </w:r>
            <w:proofErr w:type="spellEnd"/>
          </w:p>
        </w:tc>
      </w:tr>
      <w:tr w:rsidR="006449B2" w:rsidRPr="007F05C5" w:rsidTr="00B54D82">
        <w:tc>
          <w:tcPr>
            <w:tcW w:w="709" w:type="dxa"/>
          </w:tcPr>
          <w:p w:rsidR="006449B2" w:rsidRPr="007F05C5" w:rsidRDefault="006449B2" w:rsidP="00A164E7">
            <w:pPr>
              <w:rPr>
                <w:sz w:val="22"/>
                <w:szCs w:val="22"/>
              </w:rPr>
            </w:pPr>
            <w:r w:rsidRPr="007F05C5">
              <w:rPr>
                <w:sz w:val="22"/>
                <w:szCs w:val="22"/>
              </w:rPr>
              <w:t>4.11</w:t>
            </w:r>
          </w:p>
        </w:tc>
        <w:tc>
          <w:tcPr>
            <w:tcW w:w="8931" w:type="dxa"/>
          </w:tcPr>
          <w:p w:rsidR="006449B2" w:rsidRPr="007F05C5" w:rsidRDefault="006449B2" w:rsidP="00A164E7">
            <w:pPr>
              <w:rPr>
                <w:sz w:val="22"/>
                <w:szCs w:val="22"/>
              </w:rPr>
            </w:pPr>
            <w:r w:rsidRPr="007F05C5">
              <w:rPr>
                <w:sz w:val="22"/>
                <w:szCs w:val="22"/>
              </w:rPr>
              <w:t>Date for assessment review</w:t>
            </w:r>
          </w:p>
        </w:tc>
        <w:tc>
          <w:tcPr>
            <w:tcW w:w="6237" w:type="dxa"/>
            <w:gridSpan w:val="9"/>
          </w:tcPr>
          <w:p w:rsidR="006449B2" w:rsidRPr="007F05C5" w:rsidRDefault="00606E67" w:rsidP="00606E67">
            <w:pPr>
              <w:rPr>
                <w:sz w:val="22"/>
                <w:szCs w:val="22"/>
              </w:rPr>
            </w:pPr>
            <w:r>
              <w:rPr>
                <w:sz w:val="22"/>
                <w:szCs w:val="22"/>
              </w:rPr>
              <w:t>1 month prior to commencement of the</w:t>
            </w:r>
            <w:r w:rsidR="002F551B">
              <w:rPr>
                <w:sz w:val="22"/>
                <w:szCs w:val="22"/>
              </w:rPr>
              <w:t xml:space="preserve"> physical</w:t>
            </w:r>
            <w:r>
              <w:rPr>
                <w:sz w:val="22"/>
                <w:szCs w:val="22"/>
              </w:rPr>
              <w:t xml:space="preserve"> works</w:t>
            </w:r>
            <w:bookmarkStart w:id="14" w:name="_GoBack"/>
            <w:bookmarkEnd w:id="14"/>
          </w:p>
        </w:tc>
      </w:tr>
    </w:tbl>
    <w:p w:rsidR="006449B2" w:rsidRPr="007F05C5" w:rsidRDefault="006449B2" w:rsidP="006449B2">
      <w:pPr>
        <w:pStyle w:val="Heading1"/>
        <w:spacing w:before="0"/>
        <w:rPr>
          <w:rFonts w:ascii="Arial" w:eastAsia="Times New Roman" w:hAnsi="Arial" w:cs="Arial"/>
          <w:sz w:val="22"/>
          <w:szCs w:val="22"/>
        </w:rPr>
      </w:pPr>
    </w:p>
    <w:p w:rsidR="006449B2" w:rsidRPr="007F05C5" w:rsidRDefault="006449B2" w:rsidP="006449B2">
      <w:bookmarkStart w:id="15" w:name="_Appendix_2:_Equality_1"/>
      <w:bookmarkEnd w:id="15"/>
    </w:p>
    <w:p w:rsidR="006449B2" w:rsidRDefault="006449B2" w:rsidP="006449B2">
      <w:pPr>
        <w:sectPr w:rsidR="006449B2" w:rsidSect="00A164E7">
          <w:headerReference w:type="default" r:id="rId14"/>
          <w:footerReference w:type="default" r:id="rId15"/>
          <w:pgSz w:w="16838" w:h="11906" w:orient="landscape"/>
          <w:pgMar w:top="142" w:right="1440" w:bottom="1440" w:left="1440" w:header="708" w:footer="708" w:gutter="0"/>
          <w:cols w:space="708"/>
          <w:docGrid w:linePitch="360"/>
        </w:sectPr>
      </w:pPr>
      <w:bookmarkStart w:id="16" w:name="_Appendix_4:_Meeting"/>
      <w:bookmarkStart w:id="17" w:name="_Appendix_3:_Equality_1"/>
      <w:bookmarkEnd w:id="16"/>
      <w:bookmarkEnd w:id="17"/>
    </w:p>
    <w:p w:rsidR="006449B2" w:rsidRDefault="006449B2" w:rsidP="006449B2">
      <w:pPr>
        <w:pStyle w:val="Heading1"/>
        <w:rPr>
          <w:rFonts w:ascii="Arial" w:hAnsi="Arial" w:cs="Arial"/>
          <w:sz w:val="24"/>
          <w:szCs w:val="24"/>
        </w:rPr>
      </w:pPr>
      <w:bookmarkStart w:id="18" w:name="_Appendix_4:_Meeting_1"/>
      <w:bookmarkStart w:id="19" w:name="_Appendix_3:_Managing"/>
      <w:bookmarkStart w:id="20" w:name="_Toc335056708"/>
      <w:bookmarkEnd w:id="18"/>
      <w:bookmarkEnd w:id="19"/>
      <w:r w:rsidRPr="00E419ED">
        <w:rPr>
          <w:rFonts w:ascii="Arial" w:hAnsi="Arial" w:cs="Arial"/>
          <w:sz w:val="24"/>
          <w:szCs w:val="24"/>
        </w:rPr>
        <w:lastRenderedPageBreak/>
        <w:t>Appendi</w:t>
      </w:r>
      <w:r>
        <w:rPr>
          <w:rFonts w:ascii="Arial" w:hAnsi="Arial" w:cs="Arial"/>
          <w:sz w:val="24"/>
          <w:szCs w:val="24"/>
        </w:rPr>
        <w:t>x 2</w:t>
      </w:r>
      <w:r w:rsidRPr="00E419ED">
        <w:rPr>
          <w:rFonts w:ascii="Arial" w:hAnsi="Arial" w:cs="Arial"/>
          <w:sz w:val="24"/>
          <w:szCs w:val="24"/>
        </w:rPr>
        <w:t xml:space="preserve">: </w:t>
      </w:r>
      <w:r>
        <w:rPr>
          <w:rFonts w:ascii="Arial" w:hAnsi="Arial" w:cs="Arial"/>
          <w:sz w:val="24"/>
          <w:szCs w:val="24"/>
        </w:rPr>
        <w:t>Meeting the equality duty in policy and decision-making checklist</w:t>
      </w:r>
      <w:r>
        <w:rPr>
          <w:rStyle w:val="FootnoteReference"/>
          <w:rFonts w:ascii="Arial" w:hAnsi="Arial" w:cs="Arial"/>
          <w:sz w:val="24"/>
          <w:szCs w:val="24"/>
        </w:rPr>
        <w:footnoteReference w:id="1"/>
      </w:r>
      <w:bookmarkEnd w:id="20"/>
    </w:p>
    <w:p w:rsidR="006449B2" w:rsidRPr="00F961D4" w:rsidRDefault="006449B2" w:rsidP="00F961D4">
      <w:pPr>
        <w:spacing w:line="240" w:lineRule="auto"/>
        <w:rPr>
          <w:rFonts w:ascii="Arial" w:hAnsi="Arial" w:cs="Arial"/>
          <w:sz w:val="24"/>
          <w:szCs w:val="24"/>
        </w:rPr>
      </w:pPr>
      <w:r>
        <w:br/>
      </w:r>
      <w:r w:rsidRPr="00F961D4">
        <w:rPr>
          <w:rFonts w:ascii="Arial" w:hAnsi="Arial" w:cs="Arial"/>
          <w:sz w:val="24"/>
          <w:szCs w:val="24"/>
        </w:rPr>
        <w:t>The checklist below provides a summary of the a</w:t>
      </w:r>
      <w:r w:rsidR="000D2EBF">
        <w:rPr>
          <w:rFonts w:ascii="Arial" w:hAnsi="Arial" w:cs="Arial"/>
          <w:sz w:val="24"/>
          <w:szCs w:val="24"/>
        </w:rPr>
        <w:t>ctions a BU policy-maker/</w:t>
      </w:r>
      <w:r w:rsidR="006679F7">
        <w:rPr>
          <w:rFonts w:ascii="Arial" w:hAnsi="Arial" w:cs="Arial"/>
          <w:sz w:val="24"/>
          <w:szCs w:val="24"/>
        </w:rPr>
        <w:t xml:space="preserve"> </w:t>
      </w:r>
      <w:r w:rsidR="000D2EBF">
        <w:rPr>
          <w:rFonts w:ascii="Arial" w:hAnsi="Arial" w:cs="Arial"/>
          <w:sz w:val="24"/>
          <w:szCs w:val="24"/>
        </w:rPr>
        <w:t>assessment</w:t>
      </w:r>
      <w:r w:rsidR="006679F7">
        <w:rPr>
          <w:rFonts w:ascii="Arial" w:hAnsi="Arial" w:cs="Arial"/>
          <w:sz w:val="24"/>
          <w:szCs w:val="24"/>
        </w:rPr>
        <w:t xml:space="preserve"> team</w:t>
      </w:r>
      <w:r w:rsidRPr="00F961D4">
        <w:rPr>
          <w:rFonts w:ascii="Arial" w:hAnsi="Arial" w:cs="Arial"/>
          <w:sz w:val="24"/>
          <w:szCs w:val="24"/>
        </w:rPr>
        <w:t xml:space="preserve"> need</w:t>
      </w:r>
      <w:r w:rsidR="008759DB">
        <w:rPr>
          <w:rFonts w:ascii="Arial" w:hAnsi="Arial" w:cs="Arial"/>
          <w:sz w:val="24"/>
          <w:szCs w:val="24"/>
        </w:rPr>
        <w:t>s</w:t>
      </w:r>
      <w:r w:rsidRPr="00F961D4">
        <w:rPr>
          <w:rFonts w:ascii="Arial" w:hAnsi="Arial" w:cs="Arial"/>
          <w:sz w:val="24"/>
          <w:szCs w:val="24"/>
        </w:rPr>
        <w:t xml:space="preserve"> to consider when giving consideration to the aims of the general equality duty in respect of policy and decision-making. </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4764"/>
        <w:gridCol w:w="4566"/>
      </w:tblGrid>
      <w:tr w:rsidR="006449B2" w:rsidRPr="00F961D4" w:rsidTr="00A164E7">
        <w:trPr>
          <w:trHeight w:val="132"/>
          <w:jc w:val="center"/>
        </w:trPr>
        <w:tc>
          <w:tcPr>
            <w:tcW w:w="5181" w:type="dxa"/>
            <w:gridSpan w:val="2"/>
            <w:shd w:val="clear" w:color="auto" w:fill="D9D9D9"/>
          </w:tcPr>
          <w:p w:rsidR="006449B2" w:rsidRPr="00F961D4" w:rsidRDefault="006449B2" w:rsidP="00F961D4">
            <w:pPr>
              <w:spacing w:line="240" w:lineRule="auto"/>
              <w:jc w:val="center"/>
              <w:rPr>
                <w:rFonts w:ascii="Arial" w:eastAsia="Calibri" w:hAnsi="Arial" w:cs="Arial"/>
                <w:b/>
              </w:rPr>
            </w:pPr>
            <w:r w:rsidRPr="00F961D4">
              <w:rPr>
                <w:rFonts w:ascii="Arial" w:eastAsia="Calibri" w:hAnsi="Arial" w:cs="Arial"/>
                <w:b/>
              </w:rPr>
              <w:t>Question/Comment</w:t>
            </w:r>
          </w:p>
        </w:tc>
        <w:tc>
          <w:tcPr>
            <w:tcW w:w="4566" w:type="dxa"/>
            <w:shd w:val="clear" w:color="auto" w:fill="D9D9D9"/>
          </w:tcPr>
          <w:p w:rsidR="006449B2" w:rsidRPr="00F961D4" w:rsidRDefault="006449B2" w:rsidP="00F961D4">
            <w:pPr>
              <w:spacing w:line="240" w:lineRule="auto"/>
              <w:jc w:val="center"/>
              <w:rPr>
                <w:rFonts w:ascii="Arial" w:eastAsia="Calibri" w:hAnsi="Arial" w:cs="Arial"/>
                <w:b/>
              </w:rPr>
            </w:pPr>
            <w:r w:rsidRPr="00F961D4">
              <w:rPr>
                <w:rFonts w:ascii="Arial" w:eastAsia="Calibri" w:hAnsi="Arial" w:cs="Arial"/>
                <w:b/>
              </w:rPr>
              <w:t>Answer</w:t>
            </w:r>
          </w:p>
        </w:tc>
      </w:tr>
      <w:tr w:rsidR="006449B2" w:rsidRPr="00F961D4" w:rsidTr="00A164E7">
        <w:trPr>
          <w:trHeight w:val="310"/>
          <w:jc w:val="center"/>
        </w:trPr>
        <w:tc>
          <w:tcPr>
            <w:tcW w:w="417" w:type="dxa"/>
          </w:tcPr>
          <w:p w:rsidR="006449B2" w:rsidRPr="00F961D4" w:rsidRDefault="006449B2" w:rsidP="00F961D4">
            <w:pPr>
              <w:spacing w:line="240" w:lineRule="auto"/>
              <w:jc w:val="center"/>
              <w:rPr>
                <w:rFonts w:ascii="Arial" w:eastAsia="Calibri" w:hAnsi="Arial" w:cs="Arial"/>
              </w:rPr>
            </w:pPr>
            <w:r w:rsidRPr="00F961D4">
              <w:rPr>
                <w:rFonts w:ascii="Arial" w:eastAsia="Calibri" w:hAnsi="Arial" w:cs="Arial"/>
              </w:rPr>
              <w:t>1.</w:t>
            </w:r>
          </w:p>
        </w:tc>
        <w:tc>
          <w:tcPr>
            <w:tcW w:w="4764" w:type="dxa"/>
          </w:tcPr>
          <w:p w:rsidR="006449B2" w:rsidRPr="00F961D4" w:rsidRDefault="006449B2" w:rsidP="00F961D4">
            <w:pPr>
              <w:spacing w:after="0" w:line="240" w:lineRule="auto"/>
              <w:rPr>
                <w:rFonts w:ascii="Arial" w:eastAsia="Calibri" w:hAnsi="Arial" w:cs="Arial"/>
              </w:rPr>
            </w:pPr>
            <w:r w:rsidRPr="00F961D4">
              <w:rPr>
                <w:rFonts w:ascii="Arial" w:eastAsia="Calibri" w:hAnsi="Arial" w:cs="Arial"/>
              </w:rPr>
              <w:t>Has assess</w:t>
            </w:r>
            <w:r w:rsidR="008759DB">
              <w:rPr>
                <w:rFonts w:ascii="Arial" w:eastAsia="Calibri" w:hAnsi="Arial" w:cs="Arial"/>
              </w:rPr>
              <w:t>ing the impact of equality been</w:t>
            </w:r>
            <w:r w:rsidRPr="00F961D4">
              <w:rPr>
                <w:rFonts w:ascii="Arial" w:eastAsia="Calibri" w:hAnsi="Arial" w:cs="Arial"/>
              </w:rPr>
              <w:t xml:space="preserve"> integrated into all policy development/decision-making within your School and Professional Services business planning processes? (Please provide examples)</w:t>
            </w:r>
          </w:p>
        </w:tc>
        <w:tc>
          <w:tcPr>
            <w:tcW w:w="4566" w:type="dxa"/>
          </w:tcPr>
          <w:p w:rsidR="006449B2" w:rsidRPr="00F961D4" w:rsidRDefault="00B1427C" w:rsidP="00F961D4">
            <w:pPr>
              <w:spacing w:line="240" w:lineRule="auto"/>
              <w:rPr>
                <w:rFonts w:ascii="Arial" w:eastAsia="Calibri" w:hAnsi="Arial" w:cs="Arial"/>
              </w:rPr>
            </w:pPr>
            <w:r>
              <w:rPr>
                <w:rFonts w:ascii="Arial" w:eastAsia="Calibri" w:hAnsi="Arial" w:cs="Arial"/>
              </w:rPr>
              <w:t>Not fully, there</w:t>
            </w:r>
            <w:r w:rsidR="007E63BE">
              <w:rPr>
                <w:rFonts w:ascii="Arial" w:eastAsia="Calibri" w:hAnsi="Arial" w:cs="Arial"/>
              </w:rPr>
              <w:t xml:space="preserve"> is an on-going process of training and implementation. </w:t>
            </w:r>
          </w:p>
        </w:tc>
      </w:tr>
      <w:tr w:rsidR="006449B2" w:rsidRPr="00F961D4" w:rsidTr="00A164E7">
        <w:trPr>
          <w:trHeight w:val="310"/>
          <w:jc w:val="center"/>
        </w:trPr>
        <w:tc>
          <w:tcPr>
            <w:tcW w:w="417" w:type="dxa"/>
          </w:tcPr>
          <w:p w:rsidR="006449B2" w:rsidRPr="00F961D4" w:rsidRDefault="006449B2" w:rsidP="00F961D4">
            <w:pPr>
              <w:spacing w:line="240" w:lineRule="auto"/>
              <w:jc w:val="center"/>
              <w:rPr>
                <w:rFonts w:ascii="Arial" w:eastAsia="Calibri" w:hAnsi="Arial" w:cs="Arial"/>
              </w:rPr>
            </w:pPr>
            <w:r w:rsidRPr="00F961D4">
              <w:rPr>
                <w:rFonts w:ascii="Arial" w:eastAsia="Calibri" w:hAnsi="Arial" w:cs="Arial"/>
              </w:rPr>
              <w:t>2.</w:t>
            </w:r>
          </w:p>
        </w:tc>
        <w:tc>
          <w:tcPr>
            <w:tcW w:w="4764" w:type="dxa"/>
          </w:tcPr>
          <w:p w:rsidR="006449B2" w:rsidRPr="00F961D4" w:rsidRDefault="006449B2" w:rsidP="00F961D4">
            <w:pPr>
              <w:spacing w:after="0" w:line="240" w:lineRule="auto"/>
              <w:rPr>
                <w:rFonts w:ascii="Arial" w:eastAsia="Calibri" w:hAnsi="Arial" w:cs="Arial"/>
              </w:rPr>
            </w:pPr>
            <w:r w:rsidRPr="00F961D4">
              <w:rPr>
                <w:rFonts w:ascii="Arial" w:eastAsia="Calibri" w:hAnsi="Arial" w:cs="Arial"/>
              </w:rPr>
              <w:t>What equality information has been used to assess the impact of the BU policy? (Please provide examples)</w:t>
            </w:r>
          </w:p>
        </w:tc>
        <w:tc>
          <w:tcPr>
            <w:tcW w:w="4566" w:type="dxa"/>
          </w:tcPr>
          <w:p w:rsidR="006449B2" w:rsidRDefault="007E63BE" w:rsidP="007E63BE">
            <w:pPr>
              <w:pStyle w:val="ListParagraph"/>
              <w:numPr>
                <w:ilvl w:val="0"/>
                <w:numId w:val="30"/>
              </w:numPr>
              <w:spacing w:line="240" w:lineRule="auto"/>
              <w:rPr>
                <w:rFonts w:eastAsia="Calibri" w:cs="Arial"/>
                <w:sz w:val="22"/>
                <w:szCs w:val="22"/>
              </w:rPr>
            </w:pPr>
            <w:r w:rsidRPr="007E63BE">
              <w:rPr>
                <w:rFonts w:eastAsia="Calibri" w:cs="Arial"/>
                <w:sz w:val="22"/>
                <w:szCs w:val="22"/>
              </w:rPr>
              <w:t>Feedback from DDESG</w:t>
            </w:r>
            <w:r>
              <w:rPr>
                <w:rFonts w:eastAsia="Calibri" w:cs="Arial"/>
                <w:sz w:val="22"/>
                <w:szCs w:val="22"/>
              </w:rPr>
              <w:t xml:space="preserve">, e.g. requirement for a gender neutral toilet </w:t>
            </w:r>
          </w:p>
          <w:p w:rsidR="007E63BE" w:rsidRDefault="007E63BE" w:rsidP="007E63BE">
            <w:pPr>
              <w:pStyle w:val="ListParagraph"/>
              <w:numPr>
                <w:ilvl w:val="0"/>
                <w:numId w:val="30"/>
              </w:numPr>
              <w:spacing w:line="240" w:lineRule="auto"/>
              <w:rPr>
                <w:rFonts w:eastAsia="Calibri" w:cs="Arial"/>
                <w:sz w:val="22"/>
                <w:szCs w:val="22"/>
              </w:rPr>
            </w:pPr>
            <w:r>
              <w:rPr>
                <w:rFonts w:eastAsia="Calibri" w:cs="Arial"/>
                <w:sz w:val="22"/>
                <w:szCs w:val="22"/>
              </w:rPr>
              <w:t>Building Regulations</w:t>
            </w:r>
          </w:p>
          <w:p w:rsidR="007E63BE" w:rsidRDefault="007E63BE" w:rsidP="007E63BE">
            <w:pPr>
              <w:pStyle w:val="ListParagraph"/>
              <w:numPr>
                <w:ilvl w:val="0"/>
                <w:numId w:val="30"/>
              </w:numPr>
              <w:spacing w:line="240" w:lineRule="auto"/>
              <w:rPr>
                <w:rFonts w:eastAsia="Calibri" w:cs="Arial"/>
                <w:sz w:val="22"/>
                <w:szCs w:val="22"/>
              </w:rPr>
            </w:pPr>
            <w:r>
              <w:rPr>
                <w:rFonts w:eastAsia="Calibri" w:cs="Arial"/>
                <w:sz w:val="22"/>
                <w:szCs w:val="22"/>
              </w:rPr>
              <w:t>Relevant British Standards</w:t>
            </w:r>
          </w:p>
          <w:p w:rsidR="007E63BE" w:rsidRPr="007E63BE" w:rsidRDefault="007E63BE" w:rsidP="007E63BE">
            <w:pPr>
              <w:pStyle w:val="ListParagraph"/>
              <w:numPr>
                <w:ilvl w:val="0"/>
                <w:numId w:val="30"/>
              </w:numPr>
              <w:spacing w:line="240" w:lineRule="auto"/>
              <w:rPr>
                <w:rFonts w:eastAsia="Calibri" w:cs="Arial"/>
                <w:sz w:val="22"/>
                <w:szCs w:val="22"/>
              </w:rPr>
            </w:pPr>
            <w:r>
              <w:rPr>
                <w:rFonts w:eastAsia="Calibri" w:cs="Arial"/>
                <w:sz w:val="22"/>
                <w:szCs w:val="22"/>
              </w:rPr>
              <w:t xml:space="preserve">Feedback from Design Quality Indicator workshops, e.g. acoustic risk to the main atrium </w:t>
            </w:r>
          </w:p>
        </w:tc>
      </w:tr>
      <w:tr w:rsidR="006449B2" w:rsidRPr="00F961D4" w:rsidTr="00A164E7">
        <w:trPr>
          <w:trHeight w:val="310"/>
          <w:jc w:val="center"/>
        </w:trPr>
        <w:tc>
          <w:tcPr>
            <w:tcW w:w="417" w:type="dxa"/>
          </w:tcPr>
          <w:p w:rsidR="006449B2" w:rsidRPr="00F961D4" w:rsidRDefault="006449B2" w:rsidP="00F961D4">
            <w:pPr>
              <w:spacing w:line="240" w:lineRule="auto"/>
              <w:jc w:val="center"/>
              <w:rPr>
                <w:rFonts w:ascii="Arial" w:eastAsia="Calibri" w:hAnsi="Arial" w:cs="Arial"/>
              </w:rPr>
            </w:pPr>
            <w:r w:rsidRPr="00F961D4">
              <w:rPr>
                <w:rFonts w:ascii="Arial" w:eastAsia="Calibri" w:hAnsi="Arial" w:cs="Arial"/>
              </w:rPr>
              <w:t>3.</w:t>
            </w:r>
          </w:p>
        </w:tc>
        <w:tc>
          <w:tcPr>
            <w:tcW w:w="4764" w:type="dxa"/>
          </w:tcPr>
          <w:p w:rsidR="006449B2" w:rsidRPr="00F961D4" w:rsidRDefault="006449B2" w:rsidP="00F961D4">
            <w:pPr>
              <w:spacing w:after="0" w:line="240" w:lineRule="auto"/>
              <w:rPr>
                <w:rFonts w:ascii="Arial" w:eastAsia="Calibri" w:hAnsi="Arial" w:cs="Arial"/>
                <w:color w:val="00B050"/>
              </w:rPr>
            </w:pPr>
            <w:r w:rsidRPr="00F961D4">
              <w:rPr>
                <w:rFonts w:ascii="Arial" w:eastAsia="Calibri" w:hAnsi="Arial" w:cs="Arial"/>
              </w:rPr>
              <w:t>Has the assessment identified and understood how a policy might affect people with particular protected characteristics differently? (Please provide examples)</w:t>
            </w:r>
          </w:p>
        </w:tc>
        <w:tc>
          <w:tcPr>
            <w:tcW w:w="4566" w:type="dxa"/>
          </w:tcPr>
          <w:p w:rsidR="006449B2" w:rsidRDefault="00B67358" w:rsidP="00F961D4">
            <w:pPr>
              <w:spacing w:line="240" w:lineRule="auto"/>
              <w:rPr>
                <w:rFonts w:ascii="Arial" w:eastAsia="Calibri" w:hAnsi="Arial" w:cs="Arial"/>
              </w:rPr>
            </w:pPr>
            <w:r>
              <w:rPr>
                <w:rFonts w:ascii="Arial" w:eastAsia="Calibri" w:hAnsi="Arial" w:cs="Arial"/>
              </w:rPr>
              <w:t>Yes, examples as follows</w:t>
            </w:r>
            <w:r w:rsidR="00B1427C">
              <w:rPr>
                <w:rFonts w:ascii="Arial" w:eastAsia="Calibri" w:hAnsi="Arial" w:cs="Arial"/>
              </w:rPr>
              <w:t xml:space="preserve">; </w:t>
            </w:r>
          </w:p>
          <w:p w:rsidR="00B1427C" w:rsidRPr="00B67358" w:rsidRDefault="00B1427C" w:rsidP="00B1427C">
            <w:pPr>
              <w:pStyle w:val="ListParagraph"/>
              <w:numPr>
                <w:ilvl w:val="0"/>
                <w:numId w:val="31"/>
              </w:numPr>
              <w:spacing w:line="240" w:lineRule="auto"/>
              <w:rPr>
                <w:rFonts w:eastAsia="Calibri" w:cs="Arial"/>
                <w:sz w:val="22"/>
                <w:szCs w:val="22"/>
              </w:rPr>
            </w:pPr>
            <w:r w:rsidRPr="00B1427C">
              <w:rPr>
                <w:rFonts w:eastAsia="Calibri" w:cs="Arial"/>
                <w:sz w:val="22"/>
                <w:szCs w:val="22"/>
              </w:rPr>
              <w:t xml:space="preserve">Disability – the provision of a </w:t>
            </w:r>
            <w:r w:rsidRPr="00B67358">
              <w:rPr>
                <w:rFonts w:eastAsia="Calibri" w:cs="Arial"/>
                <w:sz w:val="22"/>
                <w:szCs w:val="22"/>
              </w:rPr>
              <w:t>changing facility, access to the building</w:t>
            </w:r>
            <w:r w:rsidR="00ED5359">
              <w:rPr>
                <w:rFonts w:eastAsia="Calibri" w:cs="Arial"/>
                <w:sz w:val="22"/>
                <w:szCs w:val="22"/>
              </w:rPr>
              <w:t>, access around the campus during construction</w:t>
            </w:r>
            <w:r w:rsidRPr="00B67358">
              <w:rPr>
                <w:rFonts w:eastAsia="Calibri" w:cs="Arial"/>
                <w:sz w:val="22"/>
                <w:szCs w:val="22"/>
              </w:rPr>
              <w:t xml:space="preserve"> and acoustic issues. </w:t>
            </w:r>
          </w:p>
          <w:p w:rsidR="00B1427C" w:rsidRPr="00B1427C" w:rsidRDefault="00B1427C" w:rsidP="00B1427C">
            <w:pPr>
              <w:pStyle w:val="ListParagraph"/>
              <w:numPr>
                <w:ilvl w:val="0"/>
                <w:numId w:val="31"/>
              </w:numPr>
              <w:spacing w:line="240" w:lineRule="auto"/>
              <w:rPr>
                <w:rFonts w:eastAsia="Calibri" w:cs="Arial"/>
              </w:rPr>
            </w:pPr>
            <w:r w:rsidRPr="00B67358">
              <w:rPr>
                <w:rFonts w:eastAsia="Calibri" w:cs="Arial"/>
                <w:sz w:val="22"/>
                <w:szCs w:val="22"/>
              </w:rPr>
              <w:t>Gender – the provision of WC’s</w:t>
            </w:r>
          </w:p>
        </w:tc>
      </w:tr>
      <w:tr w:rsidR="006449B2" w:rsidRPr="00F961D4" w:rsidTr="00A164E7">
        <w:trPr>
          <w:trHeight w:val="310"/>
          <w:jc w:val="center"/>
        </w:trPr>
        <w:tc>
          <w:tcPr>
            <w:tcW w:w="417" w:type="dxa"/>
          </w:tcPr>
          <w:p w:rsidR="006449B2" w:rsidRPr="00F961D4" w:rsidRDefault="006449B2" w:rsidP="00F961D4">
            <w:pPr>
              <w:spacing w:line="240" w:lineRule="auto"/>
              <w:jc w:val="center"/>
              <w:rPr>
                <w:rFonts w:ascii="Arial" w:eastAsia="Calibri" w:hAnsi="Arial" w:cs="Arial"/>
              </w:rPr>
            </w:pPr>
            <w:r w:rsidRPr="00F961D4">
              <w:rPr>
                <w:rFonts w:ascii="Arial" w:eastAsia="Calibri" w:hAnsi="Arial" w:cs="Arial"/>
              </w:rPr>
              <w:t>4.</w:t>
            </w:r>
          </w:p>
        </w:tc>
        <w:tc>
          <w:tcPr>
            <w:tcW w:w="4764" w:type="dxa"/>
          </w:tcPr>
          <w:p w:rsidR="006449B2" w:rsidRPr="00F961D4" w:rsidRDefault="006449B2" w:rsidP="00F961D4">
            <w:pPr>
              <w:spacing w:after="0" w:line="240" w:lineRule="auto"/>
              <w:rPr>
                <w:rFonts w:ascii="Arial" w:eastAsia="Calibri" w:hAnsi="Arial" w:cs="Arial"/>
                <w:color w:val="00B050"/>
              </w:rPr>
            </w:pPr>
            <w:r w:rsidRPr="00F961D4">
              <w:rPr>
                <w:rFonts w:ascii="Arial" w:eastAsia="Calibri" w:hAnsi="Arial" w:cs="Arial"/>
              </w:rPr>
              <w:t>Has the assessment identified any possible changes necessary to meet different people’s needs, in terms of removing or mitigating negative impacts and enhancing positive ones? (Please provide examples)</w:t>
            </w:r>
          </w:p>
        </w:tc>
        <w:tc>
          <w:tcPr>
            <w:tcW w:w="4566" w:type="dxa"/>
          </w:tcPr>
          <w:p w:rsidR="006449B2" w:rsidRPr="00F961D4" w:rsidRDefault="00B67358" w:rsidP="00B67358">
            <w:pPr>
              <w:spacing w:line="240" w:lineRule="auto"/>
              <w:rPr>
                <w:rFonts w:ascii="Arial" w:eastAsia="Calibri" w:hAnsi="Arial" w:cs="Arial"/>
              </w:rPr>
            </w:pPr>
            <w:r>
              <w:rPr>
                <w:rFonts w:ascii="Arial" w:eastAsia="Calibri" w:hAnsi="Arial" w:cs="Arial"/>
              </w:rPr>
              <w:t xml:space="preserve">No, the design will be developed in accordance with all legislative requirements and all known BU specific requirements, i.e. gender neutral toilets and changing places facility. </w:t>
            </w:r>
          </w:p>
        </w:tc>
      </w:tr>
      <w:tr w:rsidR="006449B2" w:rsidRPr="00F961D4" w:rsidTr="00A164E7">
        <w:trPr>
          <w:trHeight w:val="310"/>
          <w:jc w:val="center"/>
        </w:trPr>
        <w:tc>
          <w:tcPr>
            <w:tcW w:w="417" w:type="dxa"/>
          </w:tcPr>
          <w:p w:rsidR="006449B2" w:rsidRPr="00F961D4" w:rsidRDefault="006449B2" w:rsidP="00F961D4">
            <w:pPr>
              <w:spacing w:line="240" w:lineRule="auto"/>
              <w:jc w:val="center"/>
              <w:rPr>
                <w:rFonts w:ascii="Arial" w:eastAsia="Calibri" w:hAnsi="Arial" w:cs="Arial"/>
              </w:rPr>
            </w:pPr>
            <w:r w:rsidRPr="00F961D4">
              <w:rPr>
                <w:rFonts w:ascii="Arial" w:eastAsia="Calibri" w:hAnsi="Arial" w:cs="Arial"/>
              </w:rPr>
              <w:t>5.</w:t>
            </w:r>
          </w:p>
        </w:tc>
        <w:tc>
          <w:tcPr>
            <w:tcW w:w="4764" w:type="dxa"/>
          </w:tcPr>
          <w:p w:rsidR="006449B2" w:rsidRPr="00F961D4" w:rsidRDefault="006449B2" w:rsidP="00F961D4">
            <w:pPr>
              <w:spacing w:after="0" w:line="240" w:lineRule="auto"/>
              <w:rPr>
                <w:rFonts w:ascii="Arial" w:eastAsia="Calibri" w:hAnsi="Arial" w:cs="Arial"/>
                <w:color w:val="7030A0"/>
              </w:rPr>
            </w:pPr>
            <w:r w:rsidRPr="00F961D4">
              <w:rPr>
                <w:rFonts w:ascii="Arial" w:eastAsia="Calibri" w:hAnsi="Arial" w:cs="Arial"/>
              </w:rPr>
              <w:t>Do you feel the time and effort involved to undertake the assessment was proportionate to the importance of the policy in advancing equality of opportunity and fostering good relations? (Please provide examples)</w:t>
            </w:r>
          </w:p>
        </w:tc>
        <w:tc>
          <w:tcPr>
            <w:tcW w:w="4566" w:type="dxa"/>
          </w:tcPr>
          <w:p w:rsidR="006449B2" w:rsidRPr="00F961D4" w:rsidRDefault="00DB347F" w:rsidP="00F961D4">
            <w:pPr>
              <w:spacing w:line="240" w:lineRule="auto"/>
              <w:rPr>
                <w:rFonts w:ascii="Arial" w:eastAsia="Calibri" w:hAnsi="Arial" w:cs="Arial"/>
              </w:rPr>
            </w:pPr>
            <w:r>
              <w:rPr>
                <w:rFonts w:ascii="Arial" w:eastAsia="Calibri" w:hAnsi="Arial" w:cs="Arial"/>
              </w:rPr>
              <w:t xml:space="preserve">Yes. </w:t>
            </w:r>
          </w:p>
        </w:tc>
      </w:tr>
      <w:tr w:rsidR="006449B2" w:rsidRPr="00F961D4" w:rsidTr="00A164E7">
        <w:trPr>
          <w:trHeight w:val="310"/>
          <w:jc w:val="center"/>
        </w:trPr>
        <w:tc>
          <w:tcPr>
            <w:tcW w:w="417" w:type="dxa"/>
          </w:tcPr>
          <w:p w:rsidR="006449B2" w:rsidRPr="00F961D4" w:rsidRDefault="006449B2" w:rsidP="00F961D4">
            <w:pPr>
              <w:spacing w:line="240" w:lineRule="auto"/>
              <w:jc w:val="center"/>
              <w:rPr>
                <w:rFonts w:ascii="Arial" w:eastAsia="Calibri" w:hAnsi="Arial" w:cs="Arial"/>
              </w:rPr>
            </w:pPr>
            <w:r w:rsidRPr="00F961D4">
              <w:rPr>
                <w:rFonts w:ascii="Arial" w:eastAsia="Calibri" w:hAnsi="Arial" w:cs="Arial"/>
              </w:rPr>
              <w:t>6.</w:t>
            </w:r>
          </w:p>
        </w:tc>
        <w:tc>
          <w:tcPr>
            <w:tcW w:w="4764" w:type="dxa"/>
          </w:tcPr>
          <w:p w:rsidR="006449B2" w:rsidRPr="00F961D4" w:rsidRDefault="006449B2" w:rsidP="00F961D4">
            <w:pPr>
              <w:spacing w:after="0" w:line="240" w:lineRule="auto"/>
              <w:rPr>
                <w:rFonts w:ascii="Arial" w:eastAsia="Calibri" w:hAnsi="Arial" w:cs="Arial"/>
                <w:color w:val="00B050"/>
              </w:rPr>
            </w:pPr>
            <w:r w:rsidRPr="00F961D4">
              <w:rPr>
                <w:rFonts w:ascii="Arial" w:eastAsia="Calibri" w:hAnsi="Arial" w:cs="Arial"/>
              </w:rPr>
              <w:t>In undertaking the assessment please outline who you have engaged with, and why did you engage with them. (Please provide examples)</w:t>
            </w:r>
          </w:p>
        </w:tc>
        <w:tc>
          <w:tcPr>
            <w:tcW w:w="4566" w:type="dxa"/>
          </w:tcPr>
          <w:p w:rsidR="00DB347F" w:rsidRPr="00DB347F" w:rsidRDefault="00DB347F" w:rsidP="00DB347F">
            <w:pPr>
              <w:pStyle w:val="ListParagraph"/>
              <w:numPr>
                <w:ilvl w:val="0"/>
                <w:numId w:val="32"/>
              </w:numPr>
              <w:spacing w:line="240" w:lineRule="auto"/>
              <w:rPr>
                <w:rFonts w:eastAsia="Calibri" w:cs="Arial"/>
                <w:sz w:val="22"/>
                <w:szCs w:val="22"/>
              </w:rPr>
            </w:pPr>
            <w:r w:rsidRPr="00DB347F">
              <w:rPr>
                <w:rFonts w:eastAsia="Calibri" w:cs="Arial"/>
                <w:sz w:val="22"/>
                <w:szCs w:val="22"/>
              </w:rPr>
              <w:t xml:space="preserve">Estates </w:t>
            </w:r>
            <w:r>
              <w:rPr>
                <w:rFonts w:eastAsia="Calibri" w:cs="Arial"/>
                <w:sz w:val="22"/>
                <w:szCs w:val="22"/>
              </w:rPr>
              <w:t xml:space="preserve">– coordination and standardisation across projects </w:t>
            </w:r>
          </w:p>
          <w:p w:rsidR="00DB347F" w:rsidRPr="00DB347F" w:rsidRDefault="00DB347F" w:rsidP="00DB347F">
            <w:pPr>
              <w:pStyle w:val="ListParagraph"/>
              <w:spacing w:line="240" w:lineRule="auto"/>
              <w:rPr>
                <w:rFonts w:eastAsia="Calibri" w:cs="Arial"/>
              </w:rPr>
            </w:pPr>
          </w:p>
          <w:p w:rsidR="00DB347F" w:rsidRPr="00F961D4" w:rsidRDefault="00DB347F" w:rsidP="00F961D4">
            <w:pPr>
              <w:spacing w:line="240" w:lineRule="auto"/>
              <w:rPr>
                <w:rFonts w:ascii="Arial" w:eastAsia="Calibri" w:hAnsi="Arial" w:cs="Arial"/>
              </w:rPr>
            </w:pPr>
          </w:p>
        </w:tc>
      </w:tr>
      <w:tr w:rsidR="006449B2" w:rsidRPr="00F961D4" w:rsidTr="00A164E7">
        <w:trPr>
          <w:trHeight w:val="310"/>
          <w:jc w:val="center"/>
        </w:trPr>
        <w:tc>
          <w:tcPr>
            <w:tcW w:w="417" w:type="dxa"/>
          </w:tcPr>
          <w:p w:rsidR="006449B2" w:rsidRPr="00F961D4" w:rsidRDefault="006449B2" w:rsidP="00F961D4">
            <w:pPr>
              <w:spacing w:line="240" w:lineRule="auto"/>
              <w:jc w:val="center"/>
              <w:rPr>
                <w:rFonts w:ascii="Arial" w:eastAsia="Calibri" w:hAnsi="Arial" w:cs="Arial"/>
              </w:rPr>
            </w:pPr>
            <w:r w:rsidRPr="00F961D4">
              <w:rPr>
                <w:rFonts w:ascii="Arial" w:eastAsia="Calibri" w:hAnsi="Arial" w:cs="Arial"/>
              </w:rPr>
              <w:t>7.</w:t>
            </w:r>
          </w:p>
        </w:tc>
        <w:tc>
          <w:tcPr>
            <w:tcW w:w="4764" w:type="dxa"/>
          </w:tcPr>
          <w:p w:rsidR="006449B2" w:rsidRPr="00F961D4" w:rsidRDefault="006449B2" w:rsidP="00F961D4">
            <w:pPr>
              <w:spacing w:after="0" w:line="240" w:lineRule="auto"/>
              <w:rPr>
                <w:rFonts w:ascii="Arial" w:eastAsia="Calibri" w:hAnsi="Arial" w:cs="Arial"/>
              </w:rPr>
            </w:pPr>
            <w:r w:rsidRPr="00F961D4">
              <w:rPr>
                <w:rFonts w:ascii="Arial" w:eastAsia="Calibri" w:hAnsi="Arial" w:cs="Arial"/>
              </w:rPr>
              <w:t xml:space="preserve">As part of undertaking the assessment have you documented how you have considered </w:t>
            </w:r>
            <w:r w:rsidRPr="00F961D4">
              <w:rPr>
                <w:rFonts w:ascii="Arial" w:eastAsia="Calibri" w:hAnsi="Arial" w:cs="Arial"/>
              </w:rPr>
              <w:lastRenderedPageBreak/>
              <w:t>the impact of the BU policy, and how that informed your decision-making?</w:t>
            </w:r>
          </w:p>
        </w:tc>
        <w:tc>
          <w:tcPr>
            <w:tcW w:w="4566" w:type="dxa"/>
          </w:tcPr>
          <w:p w:rsidR="006449B2" w:rsidRPr="00F961D4" w:rsidRDefault="00503088" w:rsidP="00F961D4">
            <w:pPr>
              <w:spacing w:line="240" w:lineRule="auto"/>
              <w:rPr>
                <w:rFonts w:ascii="Arial" w:eastAsia="Calibri" w:hAnsi="Arial" w:cs="Arial"/>
              </w:rPr>
            </w:pPr>
            <w:r>
              <w:rPr>
                <w:rFonts w:ascii="Arial" w:eastAsia="Calibri" w:hAnsi="Arial" w:cs="Arial"/>
              </w:rPr>
              <w:lastRenderedPageBreak/>
              <w:t>No</w:t>
            </w:r>
            <w:r w:rsidR="000445C9">
              <w:rPr>
                <w:rFonts w:ascii="Arial" w:eastAsia="Calibri" w:hAnsi="Arial" w:cs="Arial"/>
              </w:rPr>
              <w:t>,</w:t>
            </w:r>
            <w:r>
              <w:rPr>
                <w:rFonts w:ascii="Arial" w:eastAsia="Calibri" w:hAnsi="Arial" w:cs="Arial"/>
              </w:rPr>
              <w:t xml:space="preserve"> because this is the first review. </w:t>
            </w:r>
          </w:p>
        </w:tc>
      </w:tr>
      <w:tr w:rsidR="006449B2" w:rsidRPr="00F961D4" w:rsidTr="00A164E7">
        <w:trPr>
          <w:trHeight w:val="310"/>
          <w:jc w:val="center"/>
        </w:trPr>
        <w:tc>
          <w:tcPr>
            <w:tcW w:w="417" w:type="dxa"/>
          </w:tcPr>
          <w:p w:rsidR="006449B2" w:rsidRPr="00F961D4" w:rsidRDefault="006449B2" w:rsidP="00F961D4">
            <w:pPr>
              <w:spacing w:line="240" w:lineRule="auto"/>
              <w:jc w:val="center"/>
              <w:rPr>
                <w:rFonts w:ascii="Arial" w:eastAsia="Calibri" w:hAnsi="Arial" w:cs="Arial"/>
              </w:rPr>
            </w:pPr>
            <w:r w:rsidRPr="00F961D4">
              <w:rPr>
                <w:rFonts w:ascii="Arial" w:eastAsia="Calibri" w:hAnsi="Arial" w:cs="Arial"/>
              </w:rPr>
              <w:lastRenderedPageBreak/>
              <w:t>8.</w:t>
            </w:r>
          </w:p>
        </w:tc>
        <w:tc>
          <w:tcPr>
            <w:tcW w:w="4764" w:type="dxa"/>
          </w:tcPr>
          <w:p w:rsidR="006449B2" w:rsidRPr="00F961D4" w:rsidRDefault="006449B2" w:rsidP="00F961D4">
            <w:pPr>
              <w:spacing w:after="0" w:line="240" w:lineRule="auto"/>
              <w:rPr>
                <w:rFonts w:ascii="Arial" w:eastAsia="Calibri" w:hAnsi="Arial" w:cs="Arial"/>
              </w:rPr>
            </w:pPr>
            <w:r w:rsidRPr="00F961D4">
              <w:rPr>
                <w:rFonts w:ascii="Arial" w:eastAsia="Calibri" w:hAnsi="Arial" w:cs="Arial"/>
              </w:rPr>
              <w:t xml:space="preserve">Have you provided feedback to DDESG on the effectiveness of the BU guidelines as part of your policy development and decision-making within your School/Professional Service? (Please provide examples) </w:t>
            </w:r>
          </w:p>
        </w:tc>
        <w:tc>
          <w:tcPr>
            <w:tcW w:w="4566" w:type="dxa"/>
          </w:tcPr>
          <w:p w:rsidR="006449B2" w:rsidRPr="00F961D4" w:rsidRDefault="00576A10" w:rsidP="00F961D4">
            <w:pPr>
              <w:spacing w:line="240" w:lineRule="auto"/>
              <w:rPr>
                <w:rFonts w:ascii="Arial" w:eastAsia="Calibri" w:hAnsi="Arial" w:cs="Arial"/>
              </w:rPr>
            </w:pPr>
            <w:r>
              <w:rPr>
                <w:rFonts w:ascii="Arial" w:eastAsia="Calibri" w:hAnsi="Arial" w:cs="Arial"/>
              </w:rPr>
              <w:t>No, because this is the first review.</w:t>
            </w:r>
          </w:p>
        </w:tc>
      </w:tr>
    </w:tbl>
    <w:p w:rsidR="00F961D4" w:rsidRDefault="00F961D4" w:rsidP="006449B2">
      <w:pPr>
        <w:pStyle w:val="Heading1"/>
        <w:rPr>
          <w:rFonts w:ascii="Arial" w:hAnsi="Arial" w:cs="Arial"/>
          <w:sz w:val="24"/>
          <w:szCs w:val="24"/>
        </w:rPr>
      </w:pPr>
      <w:bookmarkStart w:id="21" w:name="_Appendix_5:_Further"/>
      <w:bookmarkStart w:id="22" w:name="_Toc335056709"/>
      <w:bookmarkEnd w:id="21"/>
    </w:p>
    <w:p w:rsidR="006449B2" w:rsidRPr="00E419ED" w:rsidRDefault="006449B2" w:rsidP="006449B2">
      <w:pPr>
        <w:pStyle w:val="Heading1"/>
        <w:rPr>
          <w:rFonts w:ascii="Arial" w:hAnsi="Arial" w:cs="Arial"/>
          <w:sz w:val="24"/>
          <w:szCs w:val="24"/>
        </w:rPr>
      </w:pPr>
      <w:r>
        <w:rPr>
          <w:rFonts w:ascii="Arial" w:hAnsi="Arial" w:cs="Arial"/>
          <w:sz w:val="24"/>
          <w:szCs w:val="24"/>
        </w:rPr>
        <w:t xml:space="preserve">Appendix 3: </w:t>
      </w:r>
      <w:r w:rsidRPr="00E419ED">
        <w:rPr>
          <w:rFonts w:ascii="Arial" w:hAnsi="Arial" w:cs="Arial"/>
          <w:sz w:val="24"/>
          <w:szCs w:val="24"/>
        </w:rPr>
        <w:t>Further information</w:t>
      </w:r>
      <w:bookmarkEnd w:id="22"/>
    </w:p>
    <w:p w:rsidR="006449B2" w:rsidRDefault="006449B2" w:rsidP="006449B2">
      <w:pPr>
        <w:spacing w:after="0" w:line="240" w:lineRule="auto"/>
        <w:ind w:right="119"/>
        <w:rPr>
          <w:b/>
        </w:rPr>
      </w:pPr>
    </w:p>
    <w:p w:rsidR="006449B2" w:rsidRPr="00F961D4" w:rsidRDefault="006449B2" w:rsidP="006449B2">
      <w:pPr>
        <w:spacing w:after="0" w:line="240" w:lineRule="auto"/>
        <w:ind w:right="119"/>
        <w:rPr>
          <w:rFonts w:ascii="Arial" w:eastAsia="Times New Roman" w:hAnsi="Arial" w:cs="Arial"/>
          <w:color w:val="231F20"/>
          <w:sz w:val="24"/>
          <w:szCs w:val="24"/>
          <w:lang w:eastAsia="en-GB"/>
        </w:rPr>
      </w:pPr>
      <w:r w:rsidRPr="00F961D4">
        <w:rPr>
          <w:rFonts w:ascii="Arial" w:eastAsia="Times New Roman" w:hAnsi="Arial" w:cs="Arial"/>
          <w:color w:val="231F20"/>
          <w:sz w:val="24"/>
          <w:szCs w:val="24"/>
          <w:lang w:eastAsia="en-GB"/>
        </w:rPr>
        <w:t xml:space="preserve">If </w:t>
      </w:r>
      <w:r w:rsidRPr="00F961D4">
        <w:rPr>
          <w:rFonts w:ascii="Arial" w:eastAsia="Times New Roman" w:hAnsi="Arial" w:cs="Arial"/>
          <w:color w:val="231F20"/>
          <w:spacing w:val="-3"/>
          <w:sz w:val="24"/>
          <w:szCs w:val="24"/>
          <w:lang w:eastAsia="en-GB"/>
        </w:rPr>
        <w:t>y</w:t>
      </w:r>
      <w:r w:rsidRPr="00F961D4">
        <w:rPr>
          <w:rFonts w:ascii="Arial" w:eastAsia="Times New Roman" w:hAnsi="Arial" w:cs="Arial"/>
          <w:color w:val="231F20"/>
          <w:sz w:val="24"/>
          <w:szCs w:val="24"/>
          <w:lang w:eastAsia="en-GB"/>
        </w:rPr>
        <w:t xml:space="preserve">ou </w:t>
      </w:r>
      <w:r w:rsidRPr="00F961D4">
        <w:rPr>
          <w:rFonts w:ascii="Arial" w:eastAsia="Times New Roman" w:hAnsi="Arial" w:cs="Arial"/>
          <w:color w:val="231F20"/>
          <w:spacing w:val="-2"/>
          <w:sz w:val="24"/>
          <w:szCs w:val="24"/>
          <w:lang w:eastAsia="en-GB"/>
        </w:rPr>
        <w:t>w</w:t>
      </w:r>
      <w:r w:rsidRPr="00F961D4">
        <w:rPr>
          <w:rFonts w:ascii="Arial" w:eastAsia="Times New Roman" w:hAnsi="Arial" w:cs="Arial"/>
          <w:color w:val="231F20"/>
          <w:sz w:val="24"/>
          <w:szCs w:val="24"/>
          <w:lang w:eastAsia="en-GB"/>
        </w:rPr>
        <w:t>ould li</w:t>
      </w:r>
      <w:r w:rsidRPr="00F961D4">
        <w:rPr>
          <w:rFonts w:ascii="Arial" w:eastAsia="Times New Roman" w:hAnsi="Arial" w:cs="Arial"/>
          <w:color w:val="231F20"/>
          <w:spacing w:val="-7"/>
          <w:sz w:val="24"/>
          <w:szCs w:val="24"/>
          <w:lang w:eastAsia="en-GB"/>
        </w:rPr>
        <w:t>k</w:t>
      </w:r>
      <w:r w:rsidRPr="00F961D4">
        <w:rPr>
          <w:rFonts w:ascii="Arial" w:eastAsia="Times New Roman" w:hAnsi="Arial" w:cs="Arial"/>
          <w:color w:val="231F20"/>
          <w:sz w:val="24"/>
          <w:szCs w:val="24"/>
          <w:lang w:eastAsia="en-GB"/>
        </w:rPr>
        <w:t xml:space="preserve">e </w:t>
      </w:r>
      <w:r w:rsidRPr="00F961D4">
        <w:rPr>
          <w:rFonts w:ascii="Arial" w:eastAsia="Times New Roman" w:hAnsi="Arial" w:cs="Arial"/>
          <w:color w:val="231F20"/>
          <w:spacing w:val="-2"/>
          <w:sz w:val="24"/>
          <w:szCs w:val="24"/>
          <w:lang w:eastAsia="en-GB"/>
        </w:rPr>
        <w:t>t</w:t>
      </w:r>
      <w:r w:rsidRPr="00F961D4">
        <w:rPr>
          <w:rFonts w:ascii="Arial" w:eastAsia="Times New Roman" w:hAnsi="Arial" w:cs="Arial"/>
          <w:color w:val="231F20"/>
          <w:sz w:val="24"/>
          <w:szCs w:val="24"/>
          <w:lang w:eastAsia="en-GB"/>
        </w:rPr>
        <w:t>o find</w:t>
      </w:r>
      <w:r w:rsidRPr="00F961D4">
        <w:rPr>
          <w:rFonts w:ascii="Arial" w:eastAsia="Times New Roman" w:hAnsi="Arial" w:cs="Arial"/>
          <w:color w:val="231F20"/>
          <w:spacing w:val="-4"/>
          <w:sz w:val="24"/>
          <w:szCs w:val="24"/>
          <w:lang w:eastAsia="en-GB"/>
        </w:rPr>
        <w:t xml:space="preserve"> </w:t>
      </w:r>
      <w:r w:rsidRPr="00F961D4">
        <w:rPr>
          <w:rFonts w:ascii="Arial" w:eastAsia="Times New Roman" w:hAnsi="Arial" w:cs="Arial"/>
          <w:color w:val="231F20"/>
          <w:sz w:val="24"/>
          <w:szCs w:val="24"/>
          <w:lang w:eastAsia="en-GB"/>
        </w:rPr>
        <w:t>out mo</w:t>
      </w:r>
      <w:r w:rsidRPr="00F961D4">
        <w:rPr>
          <w:rFonts w:ascii="Arial" w:eastAsia="Times New Roman" w:hAnsi="Arial" w:cs="Arial"/>
          <w:color w:val="231F20"/>
          <w:spacing w:val="-3"/>
          <w:sz w:val="24"/>
          <w:szCs w:val="24"/>
          <w:lang w:eastAsia="en-GB"/>
        </w:rPr>
        <w:t>r</w:t>
      </w:r>
      <w:r w:rsidRPr="00F961D4">
        <w:rPr>
          <w:rFonts w:ascii="Arial" w:eastAsia="Times New Roman" w:hAnsi="Arial" w:cs="Arial"/>
          <w:color w:val="231F20"/>
          <w:sz w:val="24"/>
          <w:szCs w:val="24"/>
          <w:lang w:eastAsia="en-GB"/>
        </w:rPr>
        <w:t>e about Dignit</w:t>
      </w:r>
      <w:r w:rsidRPr="00F961D4">
        <w:rPr>
          <w:rFonts w:ascii="Arial" w:eastAsia="Times New Roman" w:hAnsi="Arial" w:cs="Arial"/>
          <w:color w:val="231F20"/>
          <w:spacing w:val="-17"/>
          <w:sz w:val="24"/>
          <w:szCs w:val="24"/>
          <w:lang w:eastAsia="en-GB"/>
        </w:rPr>
        <w:t>y</w:t>
      </w:r>
      <w:r w:rsidRPr="00F961D4">
        <w:rPr>
          <w:rFonts w:ascii="Arial" w:eastAsia="Times New Roman" w:hAnsi="Arial" w:cs="Arial"/>
          <w:color w:val="231F20"/>
          <w:sz w:val="24"/>
          <w:szCs w:val="24"/>
          <w:lang w:eastAsia="en-GB"/>
        </w:rPr>
        <w:t>, Di</w:t>
      </w:r>
      <w:r w:rsidRPr="00F961D4">
        <w:rPr>
          <w:rFonts w:ascii="Arial" w:eastAsia="Times New Roman" w:hAnsi="Arial" w:cs="Arial"/>
          <w:color w:val="231F20"/>
          <w:spacing w:val="-2"/>
          <w:sz w:val="24"/>
          <w:szCs w:val="24"/>
          <w:lang w:eastAsia="en-GB"/>
        </w:rPr>
        <w:t>v</w:t>
      </w:r>
      <w:r w:rsidRPr="00F961D4">
        <w:rPr>
          <w:rFonts w:ascii="Arial" w:eastAsia="Times New Roman" w:hAnsi="Arial" w:cs="Arial"/>
          <w:color w:val="231F20"/>
          <w:sz w:val="24"/>
          <w:szCs w:val="24"/>
          <w:lang w:eastAsia="en-GB"/>
        </w:rPr>
        <w:t>e</w:t>
      </w:r>
      <w:r w:rsidRPr="00F961D4">
        <w:rPr>
          <w:rFonts w:ascii="Arial" w:eastAsia="Times New Roman" w:hAnsi="Arial" w:cs="Arial"/>
          <w:color w:val="231F20"/>
          <w:spacing w:val="-4"/>
          <w:sz w:val="24"/>
          <w:szCs w:val="24"/>
          <w:lang w:eastAsia="en-GB"/>
        </w:rPr>
        <w:t>r</w:t>
      </w:r>
      <w:r w:rsidRPr="00F961D4">
        <w:rPr>
          <w:rFonts w:ascii="Arial" w:eastAsia="Times New Roman" w:hAnsi="Arial" w:cs="Arial"/>
          <w:color w:val="231F20"/>
          <w:sz w:val="24"/>
          <w:szCs w:val="24"/>
          <w:lang w:eastAsia="en-GB"/>
        </w:rPr>
        <w:t xml:space="preserve">sity and </w:t>
      </w:r>
      <w:r w:rsidRPr="00F961D4">
        <w:rPr>
          <w:rFonts w:ascii="Arial" w:eastAsia="Times New Roman" w:hAnsi="Arial" w:cs="Arial"/>
          <w:color w:val="231F20"/>
          <w:spacing w:val="-3"/>
          <w:sz w:val="24"/>
          <w:szCs w:val="24"/>
          <w:lang w:eastAsia="en-GB"/>
        </w:rPr>
        <w:t>E</w:t>
      </w:r>
      <w:r w:rsidRPr="00F961D4">
        <w:rPr>
          <w:rFonts w:ascii="Arial" w:eastAsia="Times New Roman" w:hAnsi="Arial" w:cs="Arial"/>
          <w:color w:val="231F20"/>
          <w:sz w:val="24"/>
          <w:szCs w:val="24"/>
          <w:lang w:eastAsia="en-GB"/>
        </w:rPr>
        <w:t>quality m</w:t>
      </w:r>
      <w:r w:rsidRPr="00F961D4">
        <w:rPr>
          <w:rFonts w:ascii="Arial" w:eastAsia="Times New Roman" w:hAnsi="Arial" w:cs="Arial"/>
          <w:color w:val="231F20"/>
          <w:spacing w:val="-2"/>
          <w:sz w:val="24"/>
          <w:szCs w:val="24"/>
          <w:lang w:eastAsia="en-GB"/>
        </w:rPr>
        <w:t>a</w:t>
      </w:r>
      <w:r w:rsidRPr="00F961D4">
        <w:rPr>
          <w:rFonts w:ascii="Arial" w:eastAsia="Times New Roman" w:hAnsi="Arial" w:cs="Arial"/>
          <w:color w:val="231F20"/>
          <w:sz w:val="24"/>
          <w:szCs w:val="24"/>
          <w:lang w:eastAsia="en-GB"/>
        </w:rPr>
        <w:t>t</w:t>
      </w:r>
      <w:r w:rsidRPr="00F961D4">
        <w:rPr>
          <w:rFonts w:ascii="Arial" w:eastAsia="Times New Roman" w:hAnsi="Arial" w:cs="Arial"/>
          <w:color w:val="231F20"/>
          <w:spacing w:val="-3"/>
          <w:sz w:val="24"/>
          <w:szCs w:val="24"/>
          <w:lang w:eastAsia="en-GB"/>
        </w:rPr>
        <w:t>t</w:t>
      </w:r>
      <w:r w:rsidRPr="00F961D4">
        <w:rPr>
          <w:rFonts w:ascii="Arial" w:eastAsia="Times New Roman" w:hAnsi="Arial" w:cs="Arial"/>
          <w:color w:val="231F20"/>
          <w:sz w:val="24"/>
          <w:szCs w:val="24"/>
          <w:lang w:eastAsia="en-GB"/>
        </w:rPr>
        <w:t>e</w:t>
      </w:r>
      <w:r w:rsidRPr="00F961D4">
        <w:rPr>
          <w:rFonts w:ascii="Arial" w:eastAsia="Times New Roman" w:hAnsi="Arial" w:cs="Arial"/>
          <w:color w:val="231F20"/>
          <w:spacing w:val="-4"/>
          <w:sz w:val="24"/>
          <w:szCs w:val="24"/>
          <w:lang w:eastAsia="en-GB"/>
        </w:rPr>
        <w:t>r</w:t>
      </w:r>
      <w:r w:rsidRPr="00F961D4">
        <w:rPr>
          <w:rFonts w:ascii="Arial" w:eastAsia="Times New Roman" w:hAnsi="Arial" w:cs="Arial"/>
          <w:color w:val="231F20"/>
          <w:sz w:val="24"/>
          <w:szCs w:val="24"/>
          <w:lang w:eastAsia="en-GB"/>
        </w:rPr>
        <w:t>s</w:t>
      </w:r>
      <w:r w:rsidRPr="00F961D4">
        <w:rPr>
          <w:rFonts w:ascii="Arial" w:eastAsia="Times New Roman" w:hAnsi="Arial" w:cs="Arial"/>
          <w:color w:val="231F20"/>
          <w:spacing w:val="-10"/>
          <w:sz w:val="24"/>
          <w:szCs w:val="24"/>
          <w:lang w:eastAsia="en-GB"/>
        </w:rPr>
        <w:t xml:space="preserve"> </w:t>
      </w:r>
      <w:r w:rsidRPr="00F961D4">
        <w:rPr>
          <w:rFonts w:ascii="Arial" w:eastAsia="Times New Roman" w:hAnsi="Arial" w:cs="Arial"/>
          <w:color w:val="231F20"/>
          <w:spacing w:val="-2"/>
          <w:sz w:val="24"/>
          <w:szCs w:val="24"/>
          <w:lang w:eastAsia="en-GB"/>
        </w:rPr>
        <w:t>a</w:t>
      </w:r>
      <w:r w:rsidRPr="00F961D4">
        <w:rPr>
          <w:rFonts w:ascii="Arial" w:eastAsia="Times New Roman" w:hAnsi="Arial" w:cs="Arial"/>
          <w:color w:val="231F20"/>
          <w:sz w:val="24"/>
          <w:szCs w:val="24"/>
          <w:lang w:eastAsia="en-GB"/>
        </w:rPr>
        <w:t>t the Uni</w:t>
      </w:r>
      <w:r w:rsidRPr="00F961D4">
        <w:rPr>
          <w:rFonts w:ascii="Arial" w:eastAsia="Times New Roman" w:hAnsi="Arial" w:cs="Arial"/>
          <w:color w:val="231F20"/>
          <w:spacing w:val="-2"/>
          <w:sz w:val="24"/>
          <w:szCs w:val="24"/>
          <w:lang w:eastAsia="en-GB"/>
        </w:rPr>
        <w:t>v</w:t>
      </w:r>
      <w:r w:rsidRPr="00F961D4">
        <w:rPr>
          <w:rFonts w:ascii="Arial" w:eastAsia="Times New Roman" w:hAnsi="Arial" w:cs="Arial"/>
          <w:color w:val="231F20"/>
          <w:sz w:val="24"/>
          <w:szCs w:val="24"/>
          <w:lang w:eastAsia="en-GB"/>
        </w:rPr>
        <w:t>e</w:t>
      </w:r>
      <w:r w:rsidRPr="00F961D4">
        <w:rPr>
          <w:rFonts w:ascii="Arial" w:eastAsia="Times New Roman" w:hAnsi="Arial" w:cs="Arial"/>
          <w:color w:val="231F20"/>
          <w:spacing w:val="-4"/>
          <w:sz w:val="24"/>
          <w:szCs w:val="24"/>
          <w:lang w:eastAsia="en-GB"/>
        </w:rPr>
        <w:t>r</w:t>
      </w:r>
      <w:r w:rsidRPr="00F961D4">
        <w:rPr>
          <w:rFonts w:ascii="Arial" w:eastAsia="Times New Roman" w:hAnsi="Arial" w:cs="Arial"/>
          <w:color w:val="231F20"/>
          <w:sz w:val="24"/>
          <w:szCs w:val="24"/>
          <w:lang w:eastAsia="en-GB"/>
        </w:rPr>
        <w:t xml:space="preserve">sity please </w:t>
      </w:r>
      <w:r w:rsidRPr="00F961D4">
        <w:rPr>
          <w:rFonts w:ascii="Arial" w:eastAsia="Times New Roman" w:hAnsi="Arial" w:cs="Arial"/>
          <w:color w:val="231F20"/>
          <w:spacing w:val="-2"/>
          <w:sz w:val="24"/>
          <w:szCs w:val="24"/>
          <w:lang w:eastAsia="en-GB"/>
        </w:rPr>
        <w:t>c</w:t>
      </w:r>
      <w:r w:rsidRPr="00F961D4">
        <w:rPr>
          <w:rFonts w:ascii="Arial" w:eastAsia="Times New Roman" w:hAnsi="Arial" w:cs="Arial"/>
          <w:color w:val="231F20"/>
          <w:sz w:val="24"/>
          <w:szCs w:val="24"/>
          <w:lang w:eastAsia="en-GB"/>
        </w:rPr>
        <w:t>o</w:t>
      </w:r>
      <w:r w:rsidRPr="00F961D4">
        <w:rPr>
          <w:rFonts w:ascii="Arial" w:eastAsia="Times New Roman" w:hAnsi="Arial" w:cs="Arial"/>
          <w:color w:val="231F20"/>
          <w:spacing w:val="-2"/>
          <w:sz w:val="24"/>
          <w:szCs w:val="24"/>
          <w:lang w:eastAsia="en-GB"/>
        </w:rPr>
        <w:t>n</w:t>
      </w:r>
      <w:r w:rsidRPr="00F961D4">
        <w:rPr>
          <w:rFonts w:ascii="Arial" w:eastAsia="Times New Roman" w:hAnsi="Arial" w:cs="Arial"/>
          <w:color w:val="231F20"/>
          <w:spacing w:val="-3"/>
          <w:sz w:val="24"/>
          <w:szCs w:val="24"/>
          <w:lang w:eastAsia="en-GB"/>
        </w:rPr>
        <w:t>t</w:t>
      </w:r>
      <w:r w:rsidRPr="00F961D4">
        <w:rPr>
          <w:rFonts w:ascii="Arial" w:eastAsia="Times New Roman" w:hAnsi="Arial" w:cs="Arial"/>
          <w:color w:val="231F20"/>
          <w:sz w:val="24"/>
          <w:szCs w:val="24"/>
          <w:lang w:eastAsia="en-GB"/>
        </w:rPr>
        <w:t xml:space="preserve">act Dr James Palfreman-Kay, </w:t>
      </w:r>
      <w:r w:rsidRPr="00F961D4">
        <w:rPr>
          <w:rFonts w:ascii="Arial" w:eastAsia="Times New Roman" w:hAnsi="Arial" w:cs="Arial"/>
          <w:color w:val="231F20"/>
          <w:spacing w:val="-3"/>
          <w:sz w:val="24"/>
          <w:szCs w:val="24"/>
          <w:lang w:eastAsia="en-GB"/>
        </w:rPr>
        <w:t>E</w:t>
      </w:r>
      <w:r w:rsidRPr="00F961D4">
        <w:rPr>
          <w:rFonts w:ascii="Arial" w:eastAsia="Times New Roman" w:hAnsi="Arial" w:cs="Arial"/>
          <w:color w:val="231F20"/>
          <w:sz w:val="24"/>
          <w:szCs w:val="24"/>
          <w:lang w:eastAsia="en-GB"/>
        </w:rPr>
        <w:t>quality and Di</w:t>
      </w:r>
      <w:r w:rsidRPr="00F961D4">
        <w:rPr>
          <w:rFonts w:ascii="Arial" w:eastAsia="Times New Roman" w:hAnsi="Arial" w:cs="Arial"/>
          <w:color w:val="231F20"/>
          <w:spacing w:val="-2"/>
          <w:sz w:val="24"/>
          <w:szCs w:val="24"/>
          <w:lang w:eastAsia="en-GB"/>
        </w:rPr>
        <w:t>v</w:t>
      </w:r>
      <w:r w:rsidRPr="00F961D4">
        <w:rPr>
          <w:rFonts w:ascii="Arial" w:eastAsia="Times New Roman" w:hAnsi="Arial" w:cs="Arial"/>
          <w:color w:val="231F20"/>
          <w:sz w:val="24"/>
          <w:szCs w:val="24"/>
          <w:lang w:eastAsia="en-GB"/>
        </w:rPr>
        <w:t>e</w:t>
      </w:r>
      <w:r w:rsidRPr="00F961D4">
        <w:rPr>
          <w:rFonts w:ascii="Arial" w:eastAsia="Times New Roman" w:hAnsi="Arial" w:cs="Arial"/>
          <w:color w:val="231F20"/>
          <w:spacing w:val="-4"/>
          <w:sz w:val="24"/>
          <w:szCs w:val="24"/>
          <w:lang w:eastAsia="en-GB"/>
        </w:rPr>
        <w:t>r</w:t>
      </w:r>
      <w:r w:rsidRPr="00F961D4">
        <w:rPr>
          <w:rFonts w:ascii="Arial" w:eastAsia="Times New Roman" w:hAnsi="Arial" w:cs="Arial"/>
          <w:color w:val="231F20"/>
          <w:sz w:val="24"/>
          <w:szCs w:val="24"/>
          <w:lang w:eastAsia="en-GB"/>
        </w:rPr>
        <w:t>sity Advise</w:t>
      </w:r>
      <w:r w:rsidRPr="00F961D4">
        <w:rPr>
          <w:rFonts w:ascii="Arial" w:eastAsia="Times New Roman" w:hAnsi="Arial" w:cs="Arial"/>
          <w:color w:val="231F20"/>
          <w:spacing w:val="-24"/>
          <w:sz w:val="24"/>
          <w:szCs w:val="24"/>
          <w:lang w:eastAsia="en-GB"/>
        </w:rPr>
        <w:t>r</w:t>
      </w:r>
      <w:r w:rsidRPr="00F961D4">
        <w:rPr>
          <w:rFonts w:ascii="Arial" w:eastAsia="Times New Roman" w:hAnsi="Arial" w:cs="Arial"/>
          <w:color w:val="231F20"/>
          <w:sz w:val="24"/>
          <w:szCs w:val="24"/>
          <w:lang w:eastAsia="en-GB"/>
        </w:rPr>
        <w:t>.</w:t>
      </w:r>
    </w:p>
    <w:p w:rsidR="006449B2" w:rsidRPr="00F961D4" w:rsidRDefault="006449B2" w:rsidP="006449B2">
      <w:pPr>
        <w:spacing w:after="0" w:line="240" w:lineRule="auto"/>
        <w:ind w:right="119"/>
        <w:rPr>
          <w:rFonts w:ascii="Arial" w:eastAsia="Times New Roman" w:hAnsi="Arial" w:cs="Arial"/>
          <w:color w:val="231F20"/>
          <w:sz w:val="24"/>
          <w:szCs w:val="24"/>
          <w:lang w:eastAsia="en-GB"/>
        </w:rPr>
      </w:pPr>
    </w:p>
    <w:p w:rsidR="006449B2" w:rsidRPr="00F961D4" w:rsidRDefault="006449B2" w:rsidP="006449B2">
      <w:pPr>
        <w:spacing w:before="4" w:after="0" w:line="110" w:lineRule="exact"/>
        <w:ind w:right="1395"/>
        <w:rPr>
          <w:rFonts w:ascii="Arial" w:eastAsia="Times New Roman" w:hAnsi="Arial" w:cs="Arial"/>
          <w:sz w:val="24"/>
          <w:szCs w:val="24"/>
          <w:lang w:eastAsia="en-GB"/>
        </w:rPr>
      </w:pPr>
    </w:p>
    <w:p w:rsidR="006449B2" w:rsidRPr="00F961D4" w:rsidRDefault="006449B2" w:rsidP="006449B2">
      <w:pPr>
        <w:spacing w:after="0" w:line="240" w:lineRule="auto"/>
        <w:ind w:right="-23"/>
        <w:jc w:val="right"/>
        <w:rPr>
          <w:rFonts w:ascii="Arial" w:eastAsia="Times New Roman" w:hAnsi="Arial" w:cs="Arial"/>
          <w:sz w:val="24"/>
          <w:szCs w:val="24"/>
          <w:lang w:eastAsia="en-GB"/>
        </w:rPr>
      </w:pPr>
      <w:r w:rsidRPr="00F961D4">
        <w:rPr>
          <w:rFonts w:ascii="Arial" w:eastAsia="Times New Roman" w:hAnsi="Arial" w:cs="Arial"/>
          <w:color w:val="231F20"/>
          <w:spacing w:val="-21"/>
          <w:sz w:val="24"/>
          <w:szCs w:val="24"/>
          <w:lang w:eastAsia="en-GB"/>
        </w:rPr>
        <w:t>T</w:t>
      </w:r>
      <w:r w:rsidRPr="00F961D4">
        <w:rPr>
          <w:rFonts w:ascii="Arial" w:eastAsia="Times New Roman" w:hAnsi="Arial" w:cs="Arial"/>
          <w:color w:val="231F20"/>
          <w:sz w:val="24"/>
          <w:szCs w:val="24"/>
          <w:lang w:eastAsia="en-GB"/>
        </w:rPr>
        <w:t>elephone: 01202 965327</w:t>
      </w:r>
    </w:p>
    <w:p w:rsidR="006449B2" w:rsidRPr="00F961D4" w:rsidRDefault="006449B2" w:rsidP="006449B2">
      <w:pPr>
        <w:spacing w:after="0" w:line="288" w:lineRule="exact"/>
        <w:ind w:right="-23"/>
        <w:jc w:val="right"/>
        <w:rPr>
          <w:rFonts w:ascii="Arial" w:eastAsia="Times New Roman" w:hAnsi="Arial" w:cs="Arial"/>
          <w:sz w:val="24"/>
          <w:szCs w:val="24"/>
          <w:lang w:eastAsia="en-GB"/>
        </w:rPr>
      </w:pPr>
      <w:r w:rsidRPr="00F961D4">
        <w:rPr>
          <w:rFonts w:ascii="Arial" w:eastAsia="Times New Roman" w:hAnsi="Arial" w:cs="Arial"/>
          <w:color w:val="231F20"/>
          <w:spacing w:val="-3"/>
          <w:position w:val="1"/>
          <w:sz w:val="24"/>
          <w:szCs w:val="24"/>
          <w:lang w:eastAsia="en-GB"/>
        </w:rPr>
        <w:t>E</w:t>
      </w:r>
      <w:hyperlink r:id="rId16">
        <w:r w:rsidRPr="00F961D4">
          <w:rPr>
            <w:rFonts w:ascii="Arial" w:eastAsia="Times New Roman" w:hAnsi="Arial" w:cs="Arial"/>
            <w:color w:val="231F20"/>
            <w:position w:val="1"/>
            <w:sz w:val="24"/>
            <w:szCs w:val="24"/>
            <w:lang w:eastAsia="en-GB"/>
          </w:rPr>
          <w:t>-mail: di</w:t>
        </w:r>
        <w:r w:rsidRPr="00F961D4">
          <w:rPr>
            <w:rFonts w:ascii="Arial" w:eastAsia="Times New Roman" w:hAnsi="Arial" w:cs="Arial"/>
            <w:color w:val="231F20"/>
            <w:spacing w:val="-2"/>
            <w:position w:val="1"/>
            <w:sz w:val="24"/>
            <w:szCs w:val="24"/>
            <w:lang w:eastAsia="en-GB"/>
          </w:rPr>
          <w:t>v</w:t>
        </w:r>
        <w:r w:rsidRPr="00F961D4">
          <w:rPr>
            <w:rFonts w:ascii="Arial" w:eastAsia="Times New Roman" w:hAnsi="Arial" w:cs="Arial"/>
            <w:color w:val="231F20"/>
            <w:position w:val="1"/>
            <w:sz w:val="24"/>
            <w:szCs w:val="24"/>
            <w:lang w:eastAsia="en-GB"/>
          </w:rPr>
          <w:t>e</w:t>
        </w:r>
        <w:r w:rsidRPr="00F961D4">
          <w:rPr>
            <w:rFonts w:ascii="Arial" w:eastAsia="Times New Roman" w:hAnsi="Arial" w:cs="Arial"/>
            <w:color w:val="231F20"/>
            <w:spacing w:val="-4"/>
            <w:position w:val="1"/>
            <w:sz w:val="24"/>
            <w:szCs w:val="24"/>
            <w:lang w:eastAsia="en-GB"/>
          </w:rPr>
          <w:t>r</w:t>
        </w:r>
      </w:hyperlink>
      <w:hyperlink r:id="rId17">
        <w:r w:rsidRPr="00F961D4">
          <w:rPr>
            <w:rFonts w:ascii="Arial" w:eastAsia="Times New Roman" w:hAnsi="Arial" w:cs="Arial"/>
            <w:color w:val="231F20"/>
            <w:position w:val="1"/>
            <w:sz w:val="24"/>
            <w:szCs w:val="24"/>
            <w:lang w:eastAsia="en-GB"/>
          </w:rPr>
          <w:t>sity@bournemouth.ac.uk</w:t>
        </w:r>
      </w:hyperlink>
    </w:p>
    <w:p w:rsidR="006449B2" w:rsidRPr="00F961D4" w:rsidRDefault="00C813A9" w:rsidP="006449B2">
      <w:pPr>
        <w:ind w:right="-23"/>
        <w:jc w:val="right"/>
        <w:rPr>
          <w:rFonts w:ascii="Arial" w:eastAsia="Calibri" w:hAnsi="Arial" w:cs="Arial"/>
          <w:sz w:val="24"/>
          <w:szCs w:val="24"/>
        </w:rPr>
      </w:pPr>
      <w:hyperlink r:id="rId18">
        <w:r w:rsidR="006449B2" w:rsidRPr="00F961D4">
          <w:rPr>
            <w:rFonts w:ascii="Arial" w:eastAsia="Times New Roman" w:hAnsi="Arial" w:cs="Arial"/>
            <w:color w:val="231F20"/>
            <w:sz w:val="24"/>
            <w:szCs w:val="24"/>
            <w:lang w:eastAsia="en-GB"/>
          </w:rPr>
          <w:t xml:space="preserve">URL: </w:t>
        </w:r>
        <w:r w:rsidR="006449B2" w:rsidRPr="00F961D4">
          <w:rPr>
            <w:rFonts w:ascii="Arial" w:eastAsia="Times New Roman" w:hAnsi="Arial" w:cs="Arial"/>
            <w:color w:val="231F20"/>
            <w:spacing w:val="1"/>
            <w:sz w:val="24"/>
            <w:szCs w:val="24"/>
            <w:lang w:eastAsia="en-GB"/>
          </w:rPr>
          <w:t>ww</w:t>
        </w:r>
        <w:r w:rsidR="006449B2" w:rsidRPr="00F961D4">
          <w:rPr>
            <w:rFonts w:ascii="Arial" w:eastAsia="Times New Roman" w:hAnsi="Arial" w:cs="Arial"/>
            <w:color w:val="231F20"/>
            <w:spacing w:val="-15"/>
            <w:sz w:val="24"/>
            <w:szCs w:val="24"/>
            <w:lang w:eastAsia="en-GB"/>
          </w:rPr>
          <w:t>w</w:t>
        </w:r>
        <w:r w:rsidR="006449B2" w:rsidRPr="00F961D4">
          <w:rPr>
            <w:rFonts w:ascii="Arial" w:eastAsia="Times New Roman" w:hAnsi="Arial" w:cs="Arial"/>
            <w:color w:val="231F20"/>
            <w:sz w:val="24"/>
            <w:szCs w:val="24"/>
            <w:lang w:eastAsia="en-GB"/>
          </w:rPr>
          <w:t>.bournemouth.ac.uk/di</w:t>
        </w:r>
        <w:r w:rsidR="006449B2" w:rsidRPr="00F961D4">
          <w:rPr>
            <w:rFonts w:ascii="Arial" w:eastAsia="Times New Roman" w:hAnsi="Arial" w:cs="Arial"/>
            <w:color w:val="231F20"/>
            <w:spacing w:val="-1"/>
            <w:sz w:val="24"/>
            <w:szCs w:val="24"/>
            <w:lang w:eastAsia="en-GB"/>
          </w:rPr>
          <w:t>v</w:t>
        </w:r>
        <w:r w:rsidR="006449B2" w:rsidRPr="00F961D4">
          <w:rPr>
            <w:rFonts w:ascii="Arial" w:eastAsia="Times New Roman" w:hAnsi="Arial" w:cs="Arial"/>
            <w:color w:val="231F20"/>
            <w:sz w:val="24"/>
            <w:szCs w:val="24"/>
            <w:lang w:eastAsia="en-GB"/>
          </w:rPr>
          <w:t>e</w:t>
        </w:r>
        <w:r w:rsidR="006449B2" w:rsidRPr="00F961D4">
          <w:rPr>
            <w:rFonts w:ascii="Arial" w:eastAsia="Times New Roman" w:hAnsi="Arial" w:cs="Arial"/>
            <w:color w:val="231F20"/>
            <w:spacing w:val="-4"/>
            <w:sz w:val="24"/>
            <w:szCs w:val="24"/>
            <w:lang w:eastAsia="en-GB"/>
          </w:rPr>
          <w:t>r</w:t>
        </w:r>
        <w:r w:rsidR="006449B2" w:rsidRPr="00F961D4">
          <w:rPr>
            <w:rFonts w:ascii="Arial" w:eastAsia="Times New Roman" w:hAnsi="Arial" w:cs="Arial"/>
            <w:color w:val="231F20"/>
            <w:sz w:val="24"/>
            <w:szCs w:val="24"/>
            <w:lang w:eastAsia="en-GB"/>
          </w:rPr>
          <w:t>sity</w:t>
        </w:r>
      </w:hyperlink>
      <w:r w:rsidR="006449B2" w:rsidRPr="00F961D4">
        <w:rPr>
          <w:rFonts w:ascii="Arial" w:eastAsia="Times New Roman" w:hAnsi="Arial" w:cs="Arial"/>
          <w:sz w:val="24"/>
          <w:szCs w:val="24"/>
          <w:lang w:eastAsia="en-GB"/>
        </w:rPr>
        <w:br/>
      </w:r>
      <w:r w:rsidR="006449B2" w:rsidRPr="00F961D4">
        <w:rPr>
          <w:rFonts w:ascii="Arial" w:eastAsia="Times New Roman" w:hAnsi="Arial" w:cs="Arial"/>
          <w:noProof/>
          <w:sz w:val="24"/>
          <w:szCs w:val="24"/>
          <w:lang w:eastAsia="en-GB"/>
        </w:rPr>
        <w:t xml:space="preserve">Join us on </w:t>
      </w:r>
      <w:r w:rsidR="006449B2" w:rsidRPr="00F961D4">
        <w:rPr>
          <w:rFonts w:ascii="Arial" w:eastAsia="Times New Roman" w:hAnsi="Arial" w:cs="Arial"/>
          <w:noProof/>
          <w:color w:val="1F497D"/>
          <w:sz w:val="24"/>
          <w:szCs w:val="24"/>
          <w:lang w:eastAsia="en-GB"/>
        </w:rPr>
        <w:drawing>
          <wp:inline distT="0" distB="0" distL="0" distR="0" wp14:anchorId="374F0C9F" wp14:editId="374F0CA0">
            <wp:extent cx="142875" cy="142875"/>
            <wp:effectExtent l="0" t="0" r="9525" b="9525"/>
            <wp:docPr id="8" name="Picture 8" descr="cid:image009.jpg@01CC31B3.484A5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9.jpg@01CC31B3.484A560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6449B2" w:rsidRPr="00F961D4">
        <w:rPr>
          <w:rFonts w:ascii="Arial" w:eastAsia="Times New Roman" w:hAnsi="Arial" w:cs="Arial"/>
          <w:noProof/>
          <w:sz w:val="24"/>
          <w:szCs w:val="24"/>
          <w:lang w:eastAsia="en-GB"/>
        </w:rPr>
        <w:t xml:space="preserve"> </w:t>
      </w:r>
      <w:hyperlink r:id="rId20" w:anchor="!/pages/Equality-and-Diversity-at-BU/231831260173631?sk=wall" w:history="1">
        <w:r w:rsidR="006449B2" w:rsidRPr="00F961D4">
          <w:rPr>
            <w:rFonts w:ascii="Arial" w:eastAsia="Times New Roman" w:hAnsi="Arial" w:cs="Arial"/>
            <w:noProof/>
            <w:color w:val="0000FF"/>
            <w:sz w:val="24"/>
            <w:szCs w:val="24"/>
            <w:u w:val="single"/>
            <w:lang w:eastAsia="en-GB"/>
          </w:rPr>
          <w:t>Facebook</w:t>
        </w:r>
      </w:hyperlink>
      <w:r w:rsidR="006449B2" w:rsidRPr="00F961D4">
        <w:rPr>
          <w:rFonts w:ascii="Arial" w:eastAsia="Times New Roman" w:hAnsi="Arial" w:cs="Arial"/>
          <w:noProof/>
          <w:sz w:val="24"/>
          <w:szCs w:val="24"/>
          <w:lang w:eastAsia="en-GB"/>
        </w:rPr>
        <w:t xml:space="preserve"> and </w:t>
      </w:r>
      <w:r w:rsidR="006449B2" w:rsidRPr="00F961D4">
        <w:rPr>
          <w:rFonts w:ascii="Arial" w:eastAsia="Times New Roman" w:hAnsi="Arial" w:cs="Arial"/>
          <w:noProof/>
          <w:color w:val="1F497D"/>
          <w:sz w:val="24"/>
          <w:szCs w:val="24"/>
          <w:lang w:eastAsia="en-GB"/>
        </w:rPr>
        <w:drawing>
          <wp:inline distT="0" distB="0" distL="0" distR="0" wp14:anchorId="374F0CA1" wp14:editId="374F0CA2">
            <wp:extent cx="142875" cy="142875"/>
            <wp:effectExtent l="0" t="0" r="9525" b="9525"/>
            <wp:docPr id="9" name="Picture 9" descr="cid:image010.jpg@01CC31B3.484A5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10.jpg@01CC31B3.484A560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6449B2" w:rsidRPr="00F961D4">
        <w:rPr>
          <w:rFonts w:ascii="Arial" w:eastAsia="Times New Roman" w:hAnsi="Arial" w:cs="Arial"/>
          <w:noProof/>
          <w:color w:val="1F497D"/>
          <w:sz w:val="24"/>
          <w:szCs w:val="24"/>
          <w:lang w:eastAsia="en-GB"/>
        </w:rPr>
        <w:t xml:space="preserve"> </w:t>
      </w:r>
      <w:hyperlink r:id="rId22" w:anchor="!/EqualityatBU" w:history="1">
        <w:r w:rsidR="006449B2" w:rsidRPr="00F961D4">
          <w:rPr>
            <w:rFonts w:ascii="Arial" w:eastAsia="Times New Roman" w:hAnsi="Arial" w:cs="Arial"/>
            <w:noProof/>
            <w:color w:val="0000FF"/>
            <w:sz w:val="24"/>
            <w:szCs w:val="24"/>
            <w:u w:val="single"/>
            <w:lang w:eastAsia="en-GB"/>
          </w:rPr>
          <w:t>Twitter</w:t>
        </w:r>
      </w:hyperlink>
      <w:r w:rsidR="006449B2" w:rsidRPr="00F961D4">
        <w:rPr>
          <w:rFonts w:ascii="Arial" w:eastAsia="Times New Roman" w:hAnsi="Arial" w:cs="Arial"/>
          <w:noProof/>
          <w:sz w:val="24"/>
          <w:szCs w:val="24"/>
          <w:lang w:eastAsia="en-GB"/>
        </w:rPr>
        <w:br/>
      </w:r>
      <w:hyperlink r:id="rId23" w:tgtFrame="_blank" w:history="1">
        <w:r w:rsidR="006449B2" w:rsidRPr="00F961D4">
          <w:rPr>
            <w:rFonts w:ascii="Arial" w:eastAsia="Times New Roman" w:hAnsi="Arial" w:cs="Arial"/>
            <w:noProof/>
            <w:color w:val="0000FF"/>
            <w:sz w:val="24"/>
            <w:szCs w:val="24"/>
            <w:u w:val="single"/>
            <w:lang w:eastAsia="en-GB"/>
          </w:rPr>
          <w:t>http://www.bournemouth.ac.uk/diversity</w:t>
        </w:r>
      </w:hyperlink>
    </w:p>
    <w:p w:rsidR="006449B2" w:rsidRPr="002C6D90" w:rsidRDefault="006449B2" w:rsidP="006449B2">
      <w:pPr>
        <w:spacing w:after="0" w:line="240" w:lineRule="auto"/>
        <w:rPr>
          <w:rFonts w:eastAsia="SimSun" w:cs="Arial"/>
        </w:rPr>
      </w:pPr>
    </w:p>
    <w:p w:rsidR="006449B2" w:rsidRDefault="006449B2" w:rsidP="006449B2"/>
    <w:p w:rsidR="006449B2" w:rsidRDefault="006449B2" w:rsidP="006449B2"/>
    <w:p w:rsidR="006449B2" w:rsidRDefault="006449B2"/>
    <w:p w:rsidR="006449B2" w:rsidRDefault="006449B2"/>
    <w:sectPr w:rsidR="006449B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3A9" w:rsidRDefault="00C813A9" w:rsidP="006449B2">
      <w:pPr>
        <w:spacing w:after="0" w:line="240" w:lineRule="auto"/>
      </w:pPr>
      <w:r>
        <w:separator/>
      </w:r>
    </w:p>
  </w:endnote>
  <w:endnote w:type="continuationSeparator" w:id="0">
    <w:p w:rsidR="00C813A9" w:rsidRDefault="00C813A9" w:rsidP="00644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9767404"/>
      <w:docPartObj>
        <w:docPartGallery w:val="Page Numbers (Bottom of Page)"/>
        <w:docPartUnique/>
      </w:docPartObj>
    </w:sdtPr>
    <w:sdtContent>
      <w:sdt>
        <w:sdtPr>
          <w:id w:val="1393075400"/>
          <w:docPartObj>
            <w:docPartGallery w:val="Page Numbers (Top of Page)"/>
            <w:docPartUnique/>
          </w:docPartObj>
        </w:sdtPr>
        <w:sdtContent>
          <w:p w:rsidR="00C813A9" w:rsidRDefault="00C813A9">
            <w:pPr>
              <w:pStyle w:val="Footer"/>
              <w:jc w:val="center"/>
            </w:pPr>
            <w:r w:rsidRPr="006E1730">
              <w:rPr>
                <w:sz w:val="22"/>
                <w:szCs w:val="22"/>
              </w:rPr>
              <w:t xml:space="preserve">Page </w:t>
            </w:r>
            <w:r w:rsidRPr="006E1730">
              <w:rPr>
                <w:bCs/>
                <w:sz w:val="22"/>
                <w:szCs w:val="22"/>
              </w:rPr>
              <w:fldChar w:fldCharType="begin"/>
            </w:r>
            <w:r w:rsidRPr="006E1730">
              <w:rPr>
                <w:bCs/>
                <w:sz w:val="22"/>
                <w:szCs w:val="22"/>
              </w:rPr>
              <w:instrText xml:space="preserve"> PAGE </w:instrText>
            </w:r>
            <w:r w:rsidRPr="006E1730">
              <w:rPr>
                <w:bCs/>
                <w:sz w:val="22"/>
                <w:szCs w:val="22"/>
              </w:rPr>
              <w:fldChar w:fldCharType="separate"/>
            </w:r>
            <w:r w:rsidR="002F551B">
              <w:rPr>
                <w:bCs/>
                <w:noProof/>
                <w:sz w:val="22"/>
                <w:szCs w:val="22"/>
              </w:rPr>
              <w:t>7</w:t>
            </w:r>
            <w:r w:rsidRPr="006E1730">
              <w:rPr>
                <w:bCs/>
                <w:sz w:val="22"/>
                <w:szCs w:val="22"/>
              </w:rPr>
              <w:fldChar w:fldCharType="end"/>
            </w:r>
            <w:r w:rsidRPr="006E1730">
              <w:rPr>
                <w:sz w:val="22"/>
                <w:szCs w:val="22"/>
              </w:rPr>
              <w:t xml:space="preserve"> of </w:t>
            </w:r>
            <w:r w:rsidRPr="006E1730">
              <w:rPr>
                <w:bCs/>
                <w:sz w:val="22"/>
                <w:szCs w:val="22"/>
              </w:rPr>
              <w:fldChar w:fldCharType="begin"/>
            </w:r>
            <w:r w:rsidRPr="006E1730">
              <w:rPr>
                <w:bCs/>
                <w:sz w:val="22"/>
                <w:szCs w:val="22"/>
              </w:rPr>
              <w:instrText xml:space="preserve"> NUMPAGES  </w:instrText>
            </w:r>
            <w:r w:rsidRPr="006E1730">
              <w:rPr>
                <w:bCs/>
                <w:sz w:val="22"/>
                <w:szCs w:val="22"/>
              </w:rPr>
              <w:fldChar w:fldCharType="separate"/>
            </w:r>
            <w:r w:rsidR="002F551B">
              <w:rPr>
                <w:bCs/>
                <w:noProof/>
                <w:sz w:val="22"/>
                <w:szCs w:val="22"/>
              </w:rPr>
              <w:t>7</w:t>
            </w:r>
            <w:r w:rsidRPr="006E1730">
              <w:rPr>
                <w:bCs/>
                <w:sz w:val="22"/>
                <w:szCs w:val="22"/>
              </w:rPr>
              <w:fldChar w:fldCharType="end"/>
            </w:r>
          </w:p>
        </w:sdtContent>
      </w:sdt>
    </w:sdtContent>
  </w:sdt>
  <w:p w:rsidR="00C813A9" w:rsidRDefault="00C813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3A9" w:rsidRDefault="00C813A9" w:rsidP="006449B2">
      <w:pPr>
        <w:spacing w:after="0" w:line="240" w:lineRule="auto"/>
      </w:pPr>
      <w:r>
        <w:separator/>
      </w:r>
    </w:p>
  </w:footnote>
  <w:footnote w:type="continuationSeparator" w:id="0">
    <w:p w:rsidR="00C813A9" w:rsidRDefault="00C813A9" w:rsidP="006449B2">
      <w:pPr>
        <w:spacing w:after="0" w:line="240" w:lineRule="auto"/>
      </w:pPr>
      <w:r>
        <w:continuationSeparator/>
      </w:r>
    </w:p>
  </w:footnote>
  <w:footnote w:id="1">
    <w:p w:rsidR="00C813A9" w:rsidRDefault="00C813A9" w:rsidP="006449B2">
      <w:pPr>
        <w:pStyle w:val="FootnoteText"/>
      </w:pPr>
      <w:r w:rsidRPr="00A10800">
        <w:rPr>
          <w:rStyle w:val="FootnoteReference"/>
        </w:rPr>
        <w:footnoteRef/>
      </w:r>
      <w:r w:rsidRPr="00A10800">
        <w:t xml:space="preserve"> This checklist is an adaptation of the EHRC</w:t>
      </w:r>
      <w:r>
        <w:t xml:space="preserve"> (2012:18)</w:t>
      </w:r>
      <w:r w:rsidRPr="00A10800">
        <w:t xml:space="preserve"> summary guidance and has been modified to make them relevant to Bournemouth University.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3A9" w:rsidRDefault="00C813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1B9C"/>
    <w:multiLevelType w:val="hybridMultilevel"/>
    <w:tmpl w:val="F24AC852"/>
    <w:lvl w:ilvl="0" w:tplc="73B68350">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5A3B3F"/>
    <w:multiLevelType w:val="hybridMultilevel"/>
    <w:tmpl w:val="A6BAC0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38D65A9"/>
    <w:multiLevelType w:val="hybridMultilevel"/>
    <w:tmpl w:val="A628E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CD0D9A"/>
    <w:multiLevelType w:val="hybridMultilevel"/>
    <w:tmpl w:val="087AA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25579E"/>
    <w:multiLevelType w:val="hybridMultilevel"/>
    <w:tmpl w:val="2D706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3D5C89"/>
    <w:multiLevelType w:val="hybridMultilevel"/>
    <w:tmpl w:val="04B26A78"/>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0C565EE5"/>
    <w:multiLevelType w:val="multilevel"/>
    <w:tmpl w:val="D9AC491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nsid w:val="0E422C81"/>
    <w:multiLevelType w:val="hybridMultilevel"/>
    <w:tmpl w:val="2C2A98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3E60320"/>
    <w:multiLevelType w:val="hybridMultilevel"/>
    <w:tmpl w:val="3E70C9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87A3AEB"/>
    <w:multiLevelType w:val="hybridMultilevel"/>
    <w:tmpl w:val="06DA41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A375FFC"/>
    <w:multiLevelType w:val="hybridMultilevel"/>
    <w:tmpl w:val="AC801D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1A9A4720"/>
    <w:multiLevelType w:val="hybridMultilevel"/>
    <w:tmpl w:val="90520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4E32F5"/>
    <w:multiLevelType w:val="hybridMultilevel"/>
    <w:tmpl w:val="BDB428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46853A1"/>
    <w:multiLevelType w:val="hybridMultilevel"/>
    <w:tmpl w:val="FCAE5E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C683F06"/>
    <w:multiLevelType w:val="hybridMultilevel"/>
    <w:tmpl w:val="3894FF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DFD7222"/>
    <w:multiLevelType w:val="multilevel"/>
    <w:tmpl w:val="8FF2D9B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nsid w:val="330462E3"/>
    <w:multiLevelType w:val="hybridMultilevel"/>
    <w:tmpl w:val="DD082F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4526024"/>
    <w:multiLevelType w:val="hybridMultilevel"/>
    <w:tmpl w:val="2D240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959428F"/>
    <w:multiLevelType w:val="hybridMultilevel"/>
    <w:tmpl w:val="42CCD6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1215401"/>
    <w:multiLevelType w:val="hybridMultilevel"/>
    <w:tmpl w:val="D6A2B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5727097"/>
    <w:multiLevelType w:val="hybridMultilevel"/>
    <w:tmpl w:val="47F6FF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6A97372"/>
    <w:multiLevelType w:val="hybridMultilevel"/>
    <w:tmpl w:val="56F0C0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85F1697"/>
    <w:multiLevelType w:val="hybridMultilevel"/>
    <w:tmpl w:val="93CC7D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94118F7"/>
    <w:multiLevelType w:val="hybridMultilevel"/>
    <w:tmpl w:val="F1AE52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67750F0"/>
    <w:multiLevelType w:val="hybridMultilevel"/>
    <w:tmpl w:val="9000D3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6DE5DD2"/>
    <w:multiLevelType w:val="hybridMultilevel"/>
    <w:tmpl w:val="39C223A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nsid w:val="5C417D5D"/>
    <w:multiLevelType w:val="hybridMultilevel"/>
    <w:tmpl w:val="62F83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10C5F13"/>
    <w:multiLevelType w:val="hybridMultilevel"/>
    <w:tmpl w:val="44B66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1233D2D"/>
    <w:multiLevelType w:val="hybridMultilevel"/>
    <w:tmpl w:val="4A761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158315D"/>
    <w:multiLevelType w:val="hybridMultilevel"/>
    <w:tmpl w:val="E10E8E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B90137C"/>
    <w:multiLevelType w:val="hybridMultilevel"/>
    <w:tmpl w:val="731A0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BFA0BB9"/>
    <w:multiLevelType w:val="hybridMultilevel"/>
    <w:tmpl w:val="BE3EC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E6D7456"/>
    <w:multiLevelType w:val="multilevel"/>
    <w:tmpl w:val="F7949434"/>
    <w:lvl w:ilvl="0">
      <w:start w:val="1"/>
      <w:numFmt w:val="decimal"/>
      <w:lvlText w:val="%1."/>
      <w:lvlJc w:val="left"/>
      <w:pPr>
        <w:ind w:left="360" w:hanging="360"/>
      </w:pPr>
      <w:rPr>
        <w:rFonts w:hint="default"/>
      </w:rPr>
    </w:lvl>
    <w:lvl w:ilvl="1">
      <w:start w:val="1"/>
      <w:numFmt w:val="decimal"/>
      <w:isLgl/>
      <w:lvlText w:val="%1.%2"/>
      <w:lvlJc w:val="left"/>
      <w:pPr>
        <w:ind w:left="468" w:hanging="46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3">
    <w:nsid w:val="7FA4183D"/>
    <w:multiLevelType w:val="hybridMultilevel"/>
    <w:tmpl w:val="1AEE7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9"/>
  </w:num>
  <w:num w:numId="3">
    <w:abstractNumId w:val="6"/>
  </w:num>
  <w:num w:numId="4">
    <w:abstractNumId w:val="13"/>
  </w:num>
  <w:num w:numId="5">
    <w:abstractNumId w:val="18"/>
  </w:num>
  <w:num w:numId="6">
    <w:abstractNumId w:val="23"/>
  </w:num>
  <w:num w:numId="7">
    <w:abstractNumId w:val="1"/>
  </w:num>
  <w:num w:numId="8">
    <w:abstractNumId w:val="29"/>
  </w:num>
  <w:num w:numId="9">
    <w:abstractNumId w:val="22"/>
  </w:num>
  <w:num w:numId="10">
    <w:abstractNumId w:val="7"/>
  </w:num>
  <w:num w:numId="11">
    <w:abstractNumId w:val="27"/>
  </w:num>
  <w:num w:numId="12">
    <w:abstractNumId w:val="20"/>
  </w:num>
  <w:num w:numId="13">
    <w:abstractNumId w:val="8"/>
  </w:num>
  <w:num w:numId="14">
    <w:abstractNumId w:val="24"/>
  </w:num>
  <w:num w:numId="1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5"/>
  </w:num>
  <w:num w:numId="18">
    <w:abstractNumId w:val="21"/>
  </w:num>
  <w:num w:numId="19">
    <w:abstractNumId w:val="12"/>
  </w:num>
  <w:num w:numId="20">
    <w:abstractNumId w:val="10"/>
  </w:num>
  <w:num w:numId="21">
    <w:abstractNumId w:val="11"/>
  </w:num>
  <w:num w:numId="22">
    <w:abstractNumId w:val="26"/>
  </w:num>
  <w:num w:numId="23">
    <w:abstractNumId w:val="0"/>
  </w:num>
  <w:num w:numId="24">
    <w:abstractNumId w:val="30"/>
  </w:num>
  <w:num w:numId="25">
    <w:abstractNumId w:val="4"/>
  </w:num>
  <w:num w:numId="26">
    <w:abstractNumId w:val="19"/>
  </w:num>
  <w:num w:numId="27">
    <w:abstractNumId w:val="14"/>
  </w:num>
  <w:num w:numId="28">
    <w:abstractNumId w:val="17"/>
  </w:num>
  <w:num w:numId="29">
    <w:abstractNumId w:val="33"/>
  </w:num>
  <w:num w:numId="30">
    <w:abstractNumId w:val="31"/>
  </w:num>
  <w:num w:numId="31">
    <w:abstractNumId w:val="16"/>
  </w:num>
  <w:num w:numId="32">
    <w:abstractNumId w:val="2"/>
  </w:num>
  <w:num w:numId="33">
    <w:abstractNumId w:val="28"/>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9B2"/>
    <w:rsid w:val="000445C9"/>
    <w:rsid w:val="000665D1"/>
    <w:rsid w:val="000A5A46"/>
    <w:rsid w:val="000C2F68"/>
    <w:rsid w:val="000C66A1"/>
    <w:rsid w:val="000C6925"/>
    <w:rsid w:val="000D2EBF"/>
    <w:rsid w:val="000F3F95"/>
    <w:rsid w:val="00101AC2"/>
    <w:rsid w:val="00132E1D"/>
    <w:rsid w:val="00151E10"/>
    <w:rsid w:val="00157199"/>
    <w:rsid w:val="0017236E"/>
    <w:rsid w:val="001904CB"/>
    <w:rsid w:val="001A555B"/>
    <w:rsid w:val="001D713F"/>
    <w:rsid w:val="0026594C"/>
    <w:rsid w:val="00270C1C"/>
    <w:rsid w:val="002A1ED3"/>
    <w:rsid w:val="002A35D5"/>
    <w:rsid w:val="002F551B"/>
    <w:rsid w:val="00312605"/>
    <w:rsid w:val="00341D79"/>
    <w:rsid w:val="00374467"/>
    <w:rsid w:val="003A46ED"/>
    <w:rsid w:val="003E31A7"/>
    <w:rsid w:val="003F1001"/>
    <w:rsid w:val="004029B9"/>
    <w:rsid w:val="004060E9"/>
    <w:rsid w:val="004159B7"/>
    <w:rsid w:val="0043297D"/>
    <w:rsid w:val="00436F22"/>
    <w:rsid w:val="00454651"/>
    <w:rsid w:val="004A2976"/>
    <w:rsid w:val="004A7A7E"/>
    <w:rsid w:val="004B0AE9"/>
    <w:rsid w:val="004E4778"/>
    <w:rsid w:val="004E7C1E"/>
    <w:rsid w:val="00503088"/>
    <w:rsid w:val="005056D8"/>
    <w:rsid w:val="005248A0"/>
    <w:rsid w:val="00526C61"/>
    <w:rsid w:val="00561CE8"/>
    <w:rsid w:val="005655BB"/>
    <w:rsid w:val="00576A10"/>
    <w:rsid w:val="005E4E59"/>
    <w:rsid w:val="00606E67"/>
    <w:rsid w:val="0061066B"/>
    <w:rsid w:val="00622AC9"/>
    <w:rsid w:val="006449B2"/>
    <w:rsid w:val="006679F7"/>
    <w:rsid w:val="0068091A"/>
    <w:rsid w:val="006913B9"/>
    <w:rsid w:val="006D192E"/>
    <w:rsid w:val="00705357"/>
    <w:rsid w:val="00725797"/>
    <w:rsid w:val="00783383"/>
    <w:rsid w:val="007E5998"/>
    <w:rsid w:val="007E5F4C"/>
    <w:rsid w:val="007E63BE"/>
    <w:rsid w:val="007F30E6"/>
    <w:rsid w:val="008041F0"/>
    <w:rsid w:val="00805D3A"/>
    <w:rsid w:val="00812B18"/>
    <w:rsid w:val="0083497D"/>
    <w:rsid w:val="008464F0"/>
    <w:rsid w:val="008654CA"/>
    <w:rsid w:val="00870DF3"/>
    <w:rsid w:val="008759DB"/>
    <w:rsid w:val="008F6034"/>
    <w:rsid w:val="00907552"/>
    <w:rsid w:val="009129C8"/>
    <w:rsid w:val="0095043D"/>
    <w:rsid w:val="009B13FB"/>
    <w:rsid w:val="009B278D"/>
    <w:rsid w:val="00A164E7"/>
    <w:rsid w:val="00A21199"/>
    <w:rsid w:val="00A55142"/>
    <w:rsid w:val="00AA074C"/>
    <w:rsid w:val="00AE1BC0"/>
    <w:rsid w:val="00AE6CB0"/>
    <w:rsid w:val="00AE7224"/>
    <w:rsid w:val="00B1427C"/>
    <w:rsid w:val="00B14496"/>
    <w:rsid w:val="00B26B74"/>
    <w:rsid w:val="00B33C7F"/>
    <w:rsid w:val="00B54D82"/>
    <w:rsid w:val="00B552CB"/>
    <w:rsid w:val="00B67358"/>
    <w:rsid w:val="00B80C6A"/>
    <w:rsid w:val="00BA0681"/>
    <w:rsid w:val="00BD2986"/>
    <w:rsid w:val="00C331B4"/>
    <w:rsid w:val="00C813A9"/>
    <w:rsid w:val="00C822A3"/>
    <w:rsid w:val="00C9325C"/>
    <w:rsid w:val="00CE16AA"/>
    <w:rsid w:val="00D71873"/>
    <w:rsid w:val="00D907E1"/>
    <w:rsid w:val="00DB347F"/>
    <w:rsid w:val="00DD1509"/>
    <w:rsid w:val="00E26C0C"/>
    <w:rsid w:val="00E31829"/>
    <w:rsid w:val="00E6103C"/>
    <w:rsid w:val="00E80D41"/>
    <w:rsid w:val="00ED4BA3"/>
    <w:rsid w:val="00ED5359"/>
    <w:rsid w:val="00F0272B"/>
    <w:rsid w:val="00F078F4"/>
    <w:rsid w:val="00F765FF"/>
    <w:rsid w:val="00F945E4"/>
    <w:rsid w:val="00F961D4"/>
    <w:rsid w:val="00FB5D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49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49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9B2"/>
    <w:rPr>
      <w:rFonts w:ascii="Tahoma" w:hAnsi="Tahoma" w:cs="Tahoma"/>
      <w:sz w:val="16"/>
      <w:szCs w:val="16"/>
    </w:rPr>
  </w:style>
  <w:style w:type="character" w:customStyle="1" w:styleId="Heading1Char">
    <w:name w:val="Heading 1 Char"/>
    <w:basedOn w:val="DefaultParagraphFont"/>
    <w:link w:val="Heading1"/>
    <w:uiPriority w:val="9"/>
    <w:rsid w:val="006449B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449B2"/>
    <w:pPr>
      <w:ind w:left="720"/>
      <w:contextualSpacing/>
    </w:pPr>
    <w:rPr>
      <w:rFonts w:ascii="Arial" w:hAnsi="Arial"/>
      <w:sz w:val="24"/>
      <w:szCs w:val="24"/>
    </w:rPr>
  </w:style>
  <w:style w:type="paragraph" w:styleId="FootnoteText">
    <w:name w:val="footnote text"/>
    <w:basedOn w:val="Normal"/>
    <w:link w:val="FootnoteTextChar"/>
    <w:uiPriority w:val="99"/>
    <w:unhideWhenUsed/>
    <w:rsid w:val="006449B2"/>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rsid w:val="006449B2"/>
    <w:rPr>
      <w:rFonts w:ascii="Arial" w:hAnsi="Arial"/>
      <w:sz w:val="20"/>
      <w:szCs w:val="20"/>
    </w:rPr>
  </w:style>
  <w:style w:type="character" w:styleId="FootnoteReference">
    <w:name w:val="footnote reference"/>
    <w:basedOn w:val="DefaultParagraphFont"/>
    <w:uiPriority w:val="99"/>
    <w:semiHidden/>
    <w:unhideWhenUsed/>
    <w:rsid w:val="006449B2"/>
    <w:rPr>
      <w:vertAlign w:val="superscript"/>
    </w:rPr>
  </w:style>
  <w:style w:type="character" w:styleId="Hyperlink">
    <w:name w:val="Hyperlink"/>
    <w:basedOn w:val="DefaultParagraphFont"/>
    <w:uiPriority w:val="99"/>
    <w:unhideWhenUsed/>
    <w:rsid w:val="006449B2"/>
    <w:rPr>
      <w:color w:val="0000FF" w:themeColor="hyperlink"/>
      <w:u w:val="single"/>
    </w:rPr>
  </w:style>
  <w:style w:type="table" w:styleId="TableGrid">
    <w:name w:val="Table Grid"/>
    <w:basedOn w:val="TableNormal"/>
    <w:uiPriority w:val="59"/>
    <w:rsid w:val="006449B2"/>
    <w:pPr>
      <w:spacing w:after="0" w:line="240" w:lineRule="auto"/>
    </w:pPr>
    <w:rPr>
      <w:rFonts w:ascii="Arial" w:hAnsi="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49B2"/>
    <w:pPr>
      <w:tabs>
        <w:tab w:val="center" w:pos="4513"/>
        <w:tab w:val="right" w:pos="9026"/>
      </w:tabs>
      <w:spacing w:after="0" w:line="240" w:lineRule="auto"/>
    </w:pPr>
    <w:rPr>
      <w:rFonts w:ascii="Arial" w:hAnsi="Arial"/>
      <w:sz w:val="24"/>
      <w:szCs w:val="24"/>
    </w:rPr>
  </w:style>
  <w:style w:type="character" w:customStyle="1" w:styleId="HeaderChar">
    <w:name w:val="Header Char"/>
    <w:basedOn w:val="DefaultParagraphFont"/>
    <w:link w:val="Header"/>
    <w:uiPriority w:val="99"/>
    <w:rsid w:val="006449B2"/>
    <w:rPr>
      <w:rFonts w:ascii="Arial" w:hAnsi="Arial"/>
      <w:sz w:val="24"/>
      <w:szCs w:val="24"/>
    </w:rPr>
  </w:style>
  <w:style w:type="paragraph" w:styleId="Footer">
    <w:name w:val="footer"/>
    <w:basedOn w:val="Normal"/>
    <w:link w:val="FooterChar"/>
    <w:uiPriority w:val="99"/>
    <w:unhideWhenUsed/>
    <w:rsid w:val="006449B2"/>
    <w:pPr>
      <w:tabs>
        <w:tab w:val="center" w:pos="4513"/>
        <w:tab w:val="right" w:pos="9026"/>
      </w:tabs>
      <w:spacing w:after="0" w:line="240" w:lineRule="auto"/>
    </w:pPr>
    <w:rPr>
      <w:rFonts w:ascii="Arial" w:hAnsi="Arial"/>
      <w:sz w:val="24"/>
      <w:szCs w:val="24"/>
    </w:rPr>
  </w:style>
  <w:style w:type="character" w:customStyle="1" w:styleId="FooterChar">
    <w:name w:val="Footer Char"/>
    <w:basedOn w:val="DefaultParagraphFont"/>
    <w:link w:val="Footer"/>
    <w:uiPriority w:val="99"/>
    <w:rsid w:val="006449B2"/>
    <w:rPr>
      <w:rFonts w:ascii="Arial" w:hAnsi="Arial"/>
      <w:sz w:val="24"/>
      <w:szCs w:val="24"/>
    </w:rPr>
  </w:style>
  <w:style w:type="paragraph" w:styleId="TOCHeading">
    <w:name w:val="TOC Heading"/>
    <w:basedOn w:val="Heading1"/>
    <w:next w:val="Normal"/>
    <w:uiPriority w:val="39"/>
    <w:semiHidden/>
    <w:unhideWhenUsed/>
    <w:qFormat/>
    <w:rsid w:val="006449B2"/>
    <w:pPr>
      <w:outlineLvl w:val="9"/>
    </w:pPr>
    <w:rPr>
      <w:lang w:val="en-US" w:eastAsia="ja-JP"/>
    </w:rPr>
  </w:style>
  <w:style w:type="paragraph" w:styleId="TOC1">
    <w:name w:val="toc 1"/>
    <w:basedOn w:val="Normal"/>
    <w:next w:val="Normal"/>
    <w:autoRedefine/>
    <w:uiPriority w:val="39"/>
    <w:unhideWhenUsed/>
    <w:qFormat/>
    <w:rsid w:val="006449B2"/>
    <w:pPr>
      <w:tabs>
        <w:tab w:val="left" w:pos="660"/>
        <w:tab w:val="right" w:leader="dot" w:pos="9016"/>
      </w:tabs>
      <w:spacing w:after="100"/>
    </w:pPr>
    <w:rPr>
      <w:rFonts w:ascii="Arial" w:hAnsi="Arial" w:cs="Arial"/>
      <w:i/>
      <w:noProof/>
      <w:sz w:val="24"/>
      <w:szCs w:val="24"/>
    </w:rPr>
  </w:style>
  <w:style w:type="character" w:styleId="FollowedHyperlink">
    <w:name w:val="FollowedHyperlink"/>
    <w:basedOn w:val="DefaultParagraphFont"/>
    <w:uiPriority w:val="99"/>
    <w:semiHidden/>
    <w:unhideWhenUsed/>
    <w:rsid w:val="006449B2"/>
    <w:rPr>
      <w:color w:val="800080" w:themeColor="followedHyperlink"/>
      <w:u w:val="single"/>
    </w:rPr>
  </w:style>
  <w:style w:type="paragraph" w:styleId="TOC2">
    <w:name w:val="toc 2"/>
    <w:basedOn w:val="Normal"/>
    <w:next w:val="Normal"/>
    <w:autoRedefine/>
    <w:uiPriority w:val="39"/>
    <w:semiHidden/>
    <w:unhideWhenUsed/>
    <w:qFormat/>
    <w:rsid w:val="006449B2"/>
    <w:pPr>
      <w:spacing w:after="100"/>
      <w:ind w:left="220"/>
    </w:pPr>
    <w:rPr>
      <w:rFonts w:eastAsiaTheme="minorEastAsia"/>
      <w:lang w:val="en-US" w:eastAsia="ja-JP"/>
    </w:rPr>
  </w:style>
  <w:style w:type="paragraph" w:styleId="TOC3">
    <w:name w:val="toc 3"/>
    <w:basedOn w:val="Normal"/>
    <w:next w:val="Normal"/>
    <w:autoRedefine/>
    <w:uiPriority w:val="39"/>
    <w:semiHidden/>
    <w:unhideWhenUsed/>
    <w:qFormat/>
    <w:rsid w:val="006449B2"/>
    <w:pPr>
      <w:spacing w:after="100"/>
      <w:ind w:left="440"/>
    </w:pPr>
    <w:rPr>
      <w:rFonts w:eastAsiaTheme="minorEastAsia"/>
      <w:lang w:val="en-US" w:eastAsia="ja-JP"/>
    </w:rPr>
  </w:style>
  <w:style w:type="character" w:styleId="CommentReference">
    <w:name w:val="annotation reference"/>
    <w:basedOn w:val="DefaultParagraphFont"/>
    <w:uiPriority w:val="99"/>
    <w:semiHidden/>
    <w:unhideWhenUsed/>
    <w:rsid w:val="006449B2"/>
    <w:rPr>
      <w:sz w:val="16"/>
      <w:szCs w:val="16"/>
    </w:rPr>
  </w:style>
  <w:style w:type="paragraph" w:styleId="CommentText">
    <w:name w:val="annotation text"/>
    <w:basedOn w:val="Normal"/>
    <w:link w:val="CommentTextChar"/>
    <w:uiPriority w:val="99"/>
    <w:semiHidden/>
    <w:unhideWhenUsed/>
    <w:rsid w:val="006449B2"/>
    <w:pPr>
      <w:spacing w:line="240" w:lineRule="auto"/>
    </w:pPr>
    <w:rPr>
      <w:rFonts w:ascii="Arial" w:hAnsi="Arial"/>
      <w:sz w:val="20"/>
      <w:szCs w:val="20"/>
    </w:rPr>
  </w:style>
  <w:style w:type="character" w:customStyle="1" w:styleId="CommentTextChar">
    <w:name w:val="Comment Text Char"/>
    <w:basedOn w:val="DefaultParagraphFont"/>
    <w:link w:val="CommentText"/>
    <w:uiPriority w:val="99"/>
    <w:semiHidden/>
    <w:rsid w:val="006449B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449B2"/>
    <w:rPr>
      <w:b/>
      <w:bCs/>
    </w:rPr>
  </w:style>
  <w:style w:type="character" w:customStyle="1" w:styleId="CommentSubjectChar">
    <w:name w:val="Comment Subject Char"/>
    <w:basedOn w:val="CommentTextChar"/>
    <w:link w:val="CommentSubject"/>
    <w:uiPriority w:val="99"/>
    <w:semiHidden/>
    <w:rsid w:val="006449B2"/>
    <w:rPr>
      <w:rFonts w:ascii="Arial" w:hAnsi="Arial"/>
      <w:b/>
      <w:bCs/>
      <w:sz w:val="20"/>
      <w:szCs w:val="20"/>
    </w:rPr>
  </w:style>
  <w:style w:type="paragraph" w:styleId="Revision">
    <w:name w:val="Revision"/>
    <w:hidden/>
    <w:uiPriority w:val="99"/>
    <w:semiHidden/>
    <w:rsid w:val="006449B2"/>
    <w:pPr>
      <w:spacing w:after="0" w:line="240" w:lineRule="auto"/>
    </w:pPr>
    <w:rPr>
      <w:rFonts w:ascii="Arial" w:hAnsi="Arial"/>
      <w:sz w:val="24"/>
      <w:szCs w:val="24"/>
    </w:rPr>
  </w:style>
  <w:style w:type="character" w:styleId="HTMLCite">
    <w:name w:val="HTML Cite"/>
    <w:basedOn w:val="DefaultParagraphFont"/>
    <w:uiPriority w:val="99"/>
    <w:semiHidden/>
    <w:unhideWhenUsed/>
    <w:rsid w:val="002F551B"/>
    <w:rPr>
      <w:i w:val="0"/>
      <w:iCs w:val="0"/>
      <w:color w:val="0066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49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49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9B2"/>
    <w:rPr>
      <w:rFonts w:ascii="Tahoma" w:hAnsi="Tahoma" w:cs="Tahoma"/>
      <w:sz w:val="16"/>
      <w:szCs w:val="16"/>
    </w:rPr>
  </w:style>
  <w:style w:type="character" w:customStyle="1" w:styleId="Heading1Char">
    <w:name w:val="Heading 1 Char"/>
    <w:basedOn w:val="DefaultParagraphFont"/>
    <w:link w:val="Heading1"/>
    <w:uiPriority w:val="9"/>
    <w:rsid w:val="006449B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449B2"/>
    <w:pPr>
      <w:ind w:left="720"/>
      <w:contextualSpacing/>
    </w:pPr>
    <w:rPr>
      <w:rFonts w:ascii="Arial" w:hAnsi="Arial"/>
      <w:sz w:val="24"/>
      <w:szCs w:val="24"/>
    </w:rPr>
  </w:style>
  <w:style w:type="paragraph" w:styleId="FootnoteText">
    <w:name w:val="footnote text"/>
    <w:basedOn w:val="Normal"/>
    <w:link w:val="FootnoteTextChar"/>
    <w:uiPriority w:val="99"/>
    <w:unhideWhenUsed/>
    <w:rsid w:val="006449B2"/>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rsid w:val="006449B2"/>
    <w:rPr>
      <w:rFonts w:ascii="Arial" w:hAnsi="Arial"/>
      <w:sz w:val="20"/>
      <w:szCs w:val="20"/>
    </w:rPr>
  </w:style>
  <w:style w:type="character" w:styleId="FootnoteReference">
    <w:name w:val="footnote reference"/>
    <w:basedOn w:val="DefaultParagraphFont"/>
    <w:uiPriority w:val="99"/>
    <w:semiHidden/>
    <w:unhideWhenUsed/>
    <w:rsid w:val="006449B2"/>
    <w:rPr>
      <w:vertAlign w:val="superscript"/>
    </w:rPr>
  </w:style>
  <w:style w:type="character" w:styleId="Hyperlink">
    <w:name w:val="Hyperlink"/>
    <w:basedOn w:val="DefaultParagraphFont"/>
    <w:uiPriority w:val="99"/>
    <w:unhideWhenUsed/>
    <w:rsid w:val="006449B2"/>
    <w:rPr>
      <w:color w:val="0000FF" w:themeColor="hyperlink"/>
      <w:u w:val="single"/>
    </w:rPr>
  </w:style>
  <w:style w:type="table" w:styleId="TableGrid">
    <w:name w:val="Table Grid"/>
    <w:basedOn w:val="TableNormal"/>
    <w:uiPriority w:val="59"/>
    <w:rsid w:val="006449B2"/>
    <w:pPr>
      <w:spacing w:after="0" w:line="240" w:lineRule="auto"/>
    </w:pPr>
    <w:rPr>
      <w:rFonts w:ascii="Arial" w:hAnsi="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49B2"/>
    <w:pPr>
      <w:tabs>
        <w:tab w:val="center" w:pos="4513"/>
        <w:tab w:val="right" w:pos="9026"/>
      </w:tabs>
      <w:spacing w:after="0" w:line="240" w:lineRule="auto"/>
    </w:pPr>
    <w:rPr>
      <w:rFonts w:ascii="Arial" w:hAnsi="Arial"/>
      <w:sz w:val="24"/>
      <w:szCs w:val="24"/>
    </w:rPr>
  </w:style>
  <w:style w:type="character" w:customStyle="1" w:styleId="HeaderChar">
    <w:name w:val="Header Char"/>
    <w:basedOn w:val="DefaultParagraphFont"/>
    <w:link w:val="Header"/>
    <w:uiPriority w:val="99"/>
    <w:rsid w:val="006449B2"/>
    <w:rPr>
      <w:rFonts w:ascii="Arial" w:hAnsi="Arial"/>
      <w:sz w:val="24"/>
      <w:szCs w:val="24"/>
    </w:rPr>
  </w:style>
  <w:style w:type="paragraph" w:styleId="Footer">
    <w:name w:val="footer"/>
    <w:basedOn w:val="Normal"/>
    <w:link w:val="FooterChar"/>
    <w:uiPriority w:val="99"/>
    <w:unhideWhenUsed/>
    <w:rsid w:val="006449B2"/>
    <w:pPr>
      <w:tabs>
        <w:tab w:val="center" w:pos="4513"/>
        <w:tab w:val="right" w:pos="9026"/>
      </w:tabs>
      <w:spacing w:after="0" w:line="240" w:lineRule="auto"/>
    </w:pPr>
    <w:rPr>
      <w:rFonts w:ascii="Arial" w:hAnsi="Arial"/>
      <w:sz w:val="24"/>
      <w:szCs w:val="24"/>
    </w:rPr>
  </w:style>
  <w:style w:type="character" w:customStyle="1" w:styleId="FooterChar">
    <w:name w:val="Footer Char"/>
    <w:basedOn w:val="DefaultParagraphFont"/>
    <w:link w:val="Footer"/>
    <w:uiPriority w:val="99"/>
    <w:rsid w:val="006449B2"/>
    <w:rPr>
      <w:rFonts w:ascii="Arial" w:hAnsi="Arial"/>
      <w:sz w:val="24"/>
      <w:szCs w:val="24"/>
    </w:rPr>
  </w:style>
  <w:style w:type="paragraph" w:styleId="TOCHeading">
    <w:name w:val="TOC Heading"/>
    <w:basedOn w:val="Heading1"/>
    <w:next w:val="Normal"/>
    <w:uiPriority w:val="39"/>
    <w:semiHidden/>
    <w:unhideWhenUsed/>
    <w:qFormat/>
    <w:rsid w:val="006449B2"/>
    <w:pPr>
      <w:outlineLvl w:val="9"/>
    </w:pPr>
    <w:rPr>
      <w:lang w:val="en-US" w:eastAsia="ja-JP"/>
    </w:rPr>
  </w:style>
  <w:style w:type="paragraph" w:styleId="TOC1">
    <w:name w:val="toc 1"/>
    <w:basedOn w:val="Normal"/>
    <w:next w:val="Normal"/>
    <w:autoRedefine/>
    <w:uiPriority w:val="39"/>
    <w:unhideWhenUsed/>
    <w:qFormat/>
    <w:rsid w:val="006449B2"/>
    <w:pPr>
      <w:tabs>
        <w:tab w:val="left" w:pos="660"/>
        <w:tab w:val="right" w:leader="dot" w:pos="9016"/>
      </w:tabs>
      <w:spacing w:after="100"/>
    </w:pPr>
    <w:rPr>
      <w:rFonts w:ascii="Arial" w:hAnsi="Arial" w:cs="Arial"/>
      <w:i/>
      <w:noProof/>
      <w:sz w:val="24"/>
      <w:szCs w:val="24"/>
    </w:rPr>
  </w:style>
  <w:style w:type="character" w:styleId="FollowedHyperlink">
    <w:name w:val="FollowedHyperlink"/>
    <w:basedOn w:val="DefaultParagraphFont"/>
    <w:uiPriority w:val="99"/>
    <w:semiHidden/>
    <w:unhideWhenUsed/>
    <w:rsid w:val="006449B2"/>
    <w:rPr>
      <w:color w:val="800080" w:themeColor="followedHyperlink"/>
      <w:u w:val="single"/>
    </w:rPr>
  </w:style>
  <w:style w:type="paragraph" w:styleId="TOC2">
    <w:name w:val="toc 2"/>
    <w:basedOn w:val="Normal"/>
    <w:next w:val="Normal"/>
    <w:autoRedefine/>
    <w:uiPriority w:val="39"/>
    <w:semiHidden/>
    <w:unhideWhenUsed/>
    <w:qFormat/>
    <w:rsid w:val="006449B2"/>
    <w:pPr>
      <w:spacing w:after="100"/>
      <w:ind w:left="220"/>
    </w:pPr>
    <w:rPr>
      <w:rFonts w:eastAsiaTheme="minorEastAsia"/>
      <w:lang w:val="en-US" w:eastAsia="ja-JP"/>
    </w:rPr>
  </w:style>
  <w:style w:type="paragraph" w:styleId="TOC3">
    <w:name w:val="toc 3"/>
    <w:basedOn w:val="Normal"/>
    <w:next w:val="Normal"/>
    <w:autoRedefine/>
    <w:uiPriority w:val="39"/>
    <w:semiHidden/>
    <w:unhideWhenUsed/>
    <w:qFormat/>
    <w:rsid w:val="006449B2"/>
    <w:pPr>
      <w:spacing w:after="100"/>
      <w:ind w:left="440"/>
    </w:pPr>
    <w:rPr>
      <w:rFonts w:eastAsiaTheme="minorEastAsia"/>
      <w:lang w:val="en-US" w:eastAsia="ja-JP"/>
    </w:rPr>
  </w:style>
  <w:style w:type="character" w:styleId="CommentReference">
    <w:name w:val="annotation reference"/>
    <w:basedOn w:val="DefaultParagraphFont"/>
    <w:uiPriority w:val="99"/>
    <w:semiHidden/>
    <w:unhideWhenUsed/>
    <w:rsid w:val="006449B2"/>
    <w:rPr>
      <w:sz w:val="16"/>
      <w:szCs w:val="16"/>
    </w:rPr>
  </w:style>
  <w:style w:type="paragraph" w:styleId="CommentText">
    <w:name w:val="annotation text"/>
    <w:basedOn w:val="Normal"/>
    <w:link w:val="CommentTextChar"/>
    <w:uiPriority w:val="99"/>
    <w:semiHidden/>
    <w:unhideWhenUsed/>
    <w:rsid w:val="006449B2"/>
    <w:pPr>
      <w:spacing w:line="240" w:lineRule="auto"/>
    </w:pPr>
    <w:rPr>
      <w:rFonts w:ascii="Arial" w:hAnsi="Arial"/>
      <w:sz w:val="20"/>
      <w:szCs w:val="20"/>
    </w:rPr>
  </w:style>
  <w:style w:type="character" w:customStyle="1" w:styleId="CommentTextChar">
    <w:name w:val="Comment Text Char"/>
    <w:basedOn w:val="DefaultParagraphFont"/>
    <w:link w:val="CommentText"/>
    <w:uiPriority w:val="99"/>
    <w:semiHidden/>
    <w:rsid w:val="006449B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449B2"/>
    <w:rPr>
      <w:b/>
      <w:bCs/>
    </w:rPr>
  </w:style>
  <w:style w:type="character" w:customStyle="1" w:styleId="CommentSubjectChar">
    <w:name w:val="Comment Subject Char"/>
    <w:basedOn w:val="CommentTextChar"/>
    <w:link w:val="CommentSubject"/>
    <w:uiPriority w:val="99"/>
    <w:semiHidden/>
    <w:rsid w:val="006449B2"/>
    <w:rPr>
      <w:rFonts w:ascii="Arial" w:hAnsi="Arial"/>
      <w:b/>
      <w:bCs/>
      <w:sz w:val="20"/>
      <w:szCs w:val="20"/>
    </w:rPr>
  </w:style>
  <w:style w:type="paragraph" w:styleId="Revision">
    <w:name w:val="Revision"/>
    <w:hidden/>
    <w:uiPriority w:val="99"/>
    <w:semiHidden/>
    <w:rsid w:val="006449B2"/>
    <w:pPr>
      <w:spacing w:after="0" w:line="240" w:lineRule="auto"/>
    </w:pPr>
    <w:rPr>
      <w:rFonts w:ascii="Arial" w:hAnsi="Arial"/>
      <w:sz w:val="24"/>
      <w:szCs w:val="24"/>
    </w:rPr>
  </w:style>
  <w:style w:type="character" w:styleId="HTMLCite">
    <w:name w:val="HTML Cite"/>
    <w:basedOn w:val="DefaultParagraphFont"/>
    <w:uiPriority w:val="99"/>
    <w:semiHidden/>
    <w:unhideWhenUsed/>
    <w:rsid w:val="002F551B"/>
    <w:rPr>
      <w:i w:val="0"/>
      <w:iCs w:val="0"/>
      <w:color w:val="0066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33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microsites.bournemouth.ac.uk/new-%20%20%20%20%20%20%20%20%20%20%20%20%20%20%20%20%20%20%20%20%20%20%20%20%20%20%20%20%20%20%20%20%20%20%20%20%20%20%20%20%20%20%20%20%20%20%20%20%20%20%20%20%20%20%20%20%20%20%20academic-building/" TargetMode="External"/><Relationship Id="rId18" Type="http://schemas.openxmlformats.org/officeDocument/2006/relationships/hyperlink" Target="http://www.bournemouth.ac.uk/diversity" TargetMode="External"/><Relationship Id="rId26" Type="http://schemas.openxmlformats.org/officeDocument/2006/relationships/customXml" Target="../customXml/item5.xml"/><Relationship Id="rId3" Type="http://schemas.openxmlformats.org/officeDocument/2006/relationships/customXml" Target="../customXml/item3.xml"/><Relationship Id="rId21" Type="http://schemas.openxmlformats.org/officeDocument/2006/relationships/image" Target="media/image2.jpeg"/><Relationship Id="rId7" Type="http://schemas.microsoft.com/office/2007/relationships/stylesWithEffects" Target="stylesWithEffects.xml"/><Relationship Id="rId12" Type="http://schemas.openxmlformats.org/officeDocument/2006/relationships/hyperlink" Target="http://microsites.bournemouth.ac.uk/new-%20%20%20%20%20%20%20%20%20%20%20%20%20%20%20%20%20%20%20%20%20%20%20%20%20%20%20%20%20%20%20%20%20%20%20%20%20%20%20%20%20%20%20%20%20%20%20%20%20%20%20%20%20%20%20%20%20%20%20academic-building/" TargetMode="External"/><Relationship Id="rId17" Type="http://schemas.openxmlformats.org/officeDocument/2006/relationships/hyperlink" Target="mailto:sity@bournemouth.ac.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diversity@bournemouth.ac.uk" TargetMode="External"/><Relationship Id="rId20" Type="http://schemas.openxmlformats.org/officeDocument/2006/relationships/hyperlink" Target="http://www.facebook.com/pages/Equality-and-Diversity-at-BU/23183126017363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taw.bournemouth.ac.uk/owa/redir.aspx?C=a5a1c2fa204849a097ab1e4a0ca06baa&amp;URL=http%3a%2f%2fwww.bournemouth.ac.uk%2fdiversity" TargetMode="External"/><Relationship Id="rId10" Type="http://schemas.openxmlformats.org/officeDocument/2006/relationships/footnotes" Target="footnotes.xml"/><Relationship Id="rId19"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twit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Status xmlns="http://schemas.microsoft.com/sharepoint/v3/fields" xsi:nil="true"/>
    <Description0 xmlns="D259749B-A2FA-4762-BAAE-748A846B9902">Meeting the equality duty in policy and decision-making at Bournemouth University</Description0>
    <Author0 xmlns="D259749B-A2FA-4762-BAAE-748A846B9902">
      <UserInfo>
        <DisplayName>i:0#.w|staff\cdevisrozental</DisplayName>
        <AccountId>654</AccountId>
        <AccountType/>
      </UserInfo>
    </Author0>
    <Target_x0020_Audiences xmlns="D259749B-A2FA-4762-BAAE-748A846B9902" xsi:nil="true"/>
    <Expiry_x0020_Date xmlns="D259749B-A2FA-4762-BAAE-748A846B9902">2014-07-30T23:00:00+00:00</Expiry_x0020_Date>
    <Published_x0020_Date xmlns="D259749B-A2FA-4762-BAAE-748A846B9902">2013-08-13T23:00:00+00:00</Published_x0020_Date>
    <School_x002f_PS xmlns="D259749B-A2FA-4762-BAAE-748A846B9902">
      <Value>31</Value>
    </School_x002f_PS>
    <_dlc_DocId xmlns="7845b4e5-581f-4554-8843-a411c9829904">ZXDD766ENQDJ-737846793-2727</_dlc_DocId>
    <_dlc_DocIdUrl xmlns="7845b4e5-581f-4554-8843-a411c9829904">
      <Url>https://intranetsp.bournemouth.ac.uk/_layouts/15/DocIdRedir.aspx?ID=ZXDD766ENQDJ-737846793-2727</Url>
      <Description>ZXDD766ENQDJ-737846793-2727</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5EBA814-A725-41B2-83CB-3CCB46BC00D2}"/>
</file>

<file path=customXml/itemProps2.xml><?xml version="1.0" encoding="utf-8"?>
<ds:datastoreItem xmlns:ds="http://schemas.openxmlformats.org/officeDocument/2006/customXml" ds:itemID="{9B8A70C8-2E74-46A3-A62C-15302B3CC8C1}">
  <ds:schemaRefs>
    <ds:schemaRef ds:uri="http://schemas.microsoft.com/sharepoint/v3/contenttype/forms"/>
  </ds:schemaRefs>
</ds:datastoreItem>
</file>

<file path=customXml/itemProps3.xml><?xml version="1.0" encoding="utf-8"?>
<ds:datastoreItem xmlns:ds="http://schemas.openxmlformats.org/officeDocument/2006/customXml" ds:itemID="{681A0EB4-E8F7-4536-825E-C017C8A17988}">
  <ds:schemaRefs>
    <ds:schemaRef ds:uri="http://purl.org/dc/terms/"/>
    <ds:schemaRef ds:uri="http://schemas.microsoft.com/office/2006/metadata/properties"/>
    <ds:schemaRef ds:uri="http://www.w3.org/XML/1998/namespace"/>
    <ds:schemaRef ds:uri="http://purl.org/dc/dcmitype/"/>
    <ds:schemaRef ds:uri="http://schemas.microsoft.com/office/2006/documentManagement/types"/>
    <ds:schemaRef ds:uri="http://schemas.microsoft.com/sharepoint/v3/fields"/>
    <ds:schemaRef ds:uri="http://schemas.openxmlformats.org/package/2006/metadata/core-properties"/>
    <ds:schemaRef ds:uri="3deaea7b-4083-46bb-8d83-611dae1fd218"/>
    <ds:schemaRef ds:uri="http://purl.org/dc/elements/1.1/"/>
  </ds:schemaRefs>
</ds:datastoreItem>
</file>

<file path=customXml/itemProps4.xml><?xml version="1.0" encoding="utf-8"?>
<ds:datastoreItem xmlns:ds="http://schemas.openxmlformats.org/officeDocument/2006/customXml" ds:itemID="{687AF782-952A-4EDA-BB1C-BC8FB5E50D27}">
  <ds:schemaRefs>
    <ds:schemaRef ds:uri="http://schemas.openxmlformats.org/officeDocument/2006/bibliography"/>
  </ds:schemaRefs>
</ds:datastoreItem>
</file>

<file path=customXml/itemProps5.xml><?xml version="1.0" encoding="utf-8"?>
<ds:datastoreItem xmlns:ds="http://schemas.openxmlformats.org/officeDocument/2006/customXml" ds:itemID="{4073529D-A659-4B91-B5CB-23ECFFF3D976}"/>
</file>

<file path=docProps/app.xml><?xml version="1.0" encoding="utf-8"?>
<Properties xmlns="http://schemas.openxmlformats.org/officeDocument/2006/extended-properties" xmlns:vt="http://schemas.openxmlformats.org/officeDocument/2006/docPropsVTypes">
  <Template>Normal.dotm</Template>
  <TotalTime>152</TotalTime>
  <Pages>7</Pages>
  <Words>1943</Words>
  <Characters>11081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Meeting the equality duty in policy and decision-making at Bournemouth University</vt:lpstr>
    </vt:vector>
  </TitlesOfParts>
  <Company>Bournemouth University</Company>
  <LinksUpToDate>false</LinksUpToDate>
  <CharactersWithSpaces>12999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the equality duty in policy and decision-making at Bournemouth University</dc:title>
  <dc:creator>jkay</dc:creator>
  <cp:keywords/>
  <cp:lastModifiedBy>Robert,Lipcar</cp:lastModifiedBy>
  <cp:revision>68</cp:revision>
  <cp:lastPrinted>2013-07-04T09:08:00Z</cp:lastPrinted>
  <dcterms:created xsi:type="dcterms:W3CDTF">2014-02-12T15:06:00Z</dcterms:created>
  <dcterms:modified xsi:type="dcterms:W3CDTF">2014-02-14T11:59:00Z</dcterms:modified>
  <cp:contentStatus>People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0x010100FE4C4781120F6B419EF128C5DE6313FB</vt:lpwstr>
  </property>
  <property fmtid="{D5CDD505-2E9C-101B-9397-08002B2CF9AE}" pid="3" name="_dlc_DocIdItemGuid">
    <vt:lpwstr>4876815b-9878-42b6-9b18-b43e985165a0</vt:lpwstr>
  </property>
</Properties>
</file>